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0DCC" w14:textId="7A420432" w:rsidR="00E12F26" w:rsidRPr="00E12F26" w:rsidRDefault="00E12F26" w:rsidP="00E12F26">
      <w:pPr>
        <w:pStyle w:val="a0"/>
        <w:shd w:val="clear" w:color="auto" w:fill="auto"/>
        <w:spacing w:after="380" w:line="360" w:lineRule="auto"/>
        <w:jc w:val="center"/>
      </w:pPr>
      <w:r>
        <w:rPr>
          <w:color w:val="0D0D0D"/>
        </w:rPr>
        <w:t>Биологически активная добавка к пище</w:t>
      </w:r>
    </w:p>
    <w:p w14:paraId="67140AF4" w14:textId="0DDF38DD" w:rsidR="0080235D" w:rsidRDefault="00E12F26" w:rsidP="00E12F26">
      <w:pPr>
        <w:pStyle w:val="a0"/>
        <w:shd w:val="clear" w:color="auto" w:fill="auto"/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Велнаталь капсулы</w:t>
      </w:r>
    </w:p>
    <w:p w14:paraId="06F5207D" w14:textId="589641D8" w:rsidR="0080235D" w:rsidRDefault="00AA4779">
      <w:pPr>
        <w:pStyle w:val="a0"/>
        <w:shd w:val="clear" w:color="auto" w:fill="auto"/>
        <w:spacing w:line="360" w:lineRule="auto"/>
        <w:jc w:val="center"/>
        <w:rPr>
          <w:color w:val="0D0D0D"/>
        </w:rPr>
      </w:pPr>
      <w:r>
        <w:rPr>
          <w:color w:val="0D0D0D"/>
        </w:rPr>
        <w:t>(капсулы по 719 мг)</w:t>
      </w:r>
    </w:p>
    <w:p w14:paraId="1768DDED" w14:textId="77777777" w:rsidR="00E12F26" w:rsidRDefault="00E12F26">
      <w:pPr>
        <w:pStyle w:val="a0"/>
        <w:shd w:val="clear" w:color="auto" w:fill="auto"/>
        <w:spacing w:line="360" w:lineRule="auto"/>
        <w:jc w:val="center"/>
      </w:pPr>
    </w:p>
    <w:p w14:paraId="70A79941" w14:textId="77777777" w:rsidR="0080235D" w:rsidRPr="00E12F26" w:rsidRDefault="00AA4779">
      <w:pPr>
        <w:pStyle w:val="a0"/>
        <w:shd w:val="clear" w:color="auto" w:fill="auto"/>
        <w:spacing w:line="360" w:lineRule="auto"/>
        <w:rPr>
          <w:b/>
          <w:bCs/>
        </w:rPr>
      </w:pPr>
      <w:r w:rsidRPr="00E12F26">
        <w:rPr>
          <w:b/>
          <w:bCs/>
          <w:color w:val="0D0D0D"/>
        </w:rPr>
        <w:t>Способствует восполнению недостатка витаминов, микроэлементов и полиненасыщенных жирных кислот семейства омега-3 у женщин при следующих состояниях:</w:t>
      </w:r>
    </w:p>
    <w:p w14:paraId="7CA77EC3" w14:textId="77777777" w:rsidR="0080235D" w:rsidRDefault="00AA4779">
      <w:pPr>
        <w:pStyle w:val="a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>
        <w:t>Недостаточное и несбалансированное питание;</w:t>
      </w:r>
    </w:p>
    <w:p w14:paraId="40B70363" w14:textId="77777777" w:rsidR="0080235D" w:rsidRDefault="00AA4779">
      <w:pPr>
        <w:pStyle w:val="a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>
        <w:t>Интенсивные умственные и физические нагрузки;</w:t>
      </w:r>
    </w:p>
    <w:p w14:paraId="4809D33E" w14:textId="77777777" w:rsidR="0080235D" w:rsidRDefault="00AA4779">
      <w:pPr>
        <w:pStyle w:val="a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>
        <w:rPr>
          <w:color w:val="0D0D0D"/>
        </w:rPr>
        <w:t>Период проведения антибиотикотерапии;</w:t>
      </w:r>
    </w:p>
    <w:p w14:paraId="3BF9C90A" w14:textId="77777777" w:rsidR="0080235D" w:rsidRPr="00E12F26" w:rsidRDefault="00AA4779">
      <w:pPr>
        <w:pStyle w:val="a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  <w:rPr>
          <w:color w:val="0D0D0D"/>
        </w:rPr>
      </w:pPr>
      <w:r>
        <w:t xml:space="preserve">Период </w:t>
      </w:r>
      <w:r w:rsidRPr="00E12F26">
        <w:rPr>
          <w:color w:val="0D0D0D"/>
        </w:rPr>
        <w:t>выздоровления после перенесенных заболеван</w:t>
      </w:r>
      <w:r w:rsidRPr="00E12F26">
        <w:rPr>
          <w:color w:val="0D0D0D"/>
        </w:rPr>
        <w:t>ий;</w:t>
      </w:r>
    </w:p>
    <w:p w14:paraId="24801451" w14:textId="77777777" w:rsidR="00E12F26" w:rsidRPr="00E12F26" w:rsidRDefault="00AA4779" w:rsidP="00E12F26">
      <w:pPr>
        <w:pStyle w:val="a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  <w:rPr>
          <w:color w:val="0D0D0D"/>
        </w:rPr>
      </w:pPr>
      <w:r>
        <w:rPr>
          <w:color w:val="0D0D0D"/>
        </w:rPr>
        <w:t>При длительном применении пероральных контрацептивов.</w:t>
      </w:r>
    </w:p>
    <w:p w14:paraId="16B18163" w14:textId="1447E099" w:rsidR="00E12F26" w:rsidRPr="00E12F26" w:rsidRDefault="00E12F26" w:rsidP="00E12F26">
      <w:pPr>
        <w:pStyle w:val="a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  <w:rPr>
          <w:color w:val="0D0D0D"/>
        </w:rPr>
      </w:pPr>
      <w:r w:rsidRPr="00E12F26">
        <w:rPr>
          <w:color w:val="0D0D0D"/>
        </w:rPr>
        <w:t>Для женщин, планирующих беременность;</w:t>
      </w:r>
    </w:p>
    <w:p w14:paraId="32BD5EB9" w14:textId="77777777" w:rsidR="00E12F26" w:rsidRDefault="00E12F26" w:rsidP="00E12F26">
      <w:pPr>
        <w:pStyle w:val="a0"/>
        <w:numPr>
          <w:ilvl w:val="0"/>
          <w:numId w:val="1"/>
        </w:numPr>
        <w:shd w:val="clear" w:color="auto" w:fill="auto"/>
        <w:tabs>
          <w:tab w:val="left" w:pos="732"/>
        </w:tabs>
        <w:spacing w:line="360" w:lineRule="auto"/>
        <w:ind w:firstLine="380"/>
      </w:pPr>
      <w:r w:rsidRPr="00E12F26">
        <w:rPr>
          <w:color w:val="0D0D0D"/>
        </w:rPr>
        <w:t>Для женщин в период лактации</w:t>
      </w:r>
      <w:r>
        <w:t xml:space="preserve"> и беременности;</w:t>
      </w:r>
    </w:p>
    <w:p w14:paraId="1E5DFCA1" w14:textId="77777777" w:rsidR="00E12F26" w:rsidRDefault="00E12F26" w:rsidP="00E12F26">
      <w:pPr>
        <w:pStyle w:val="a0"/>
        <w:shd w:val="clear" w:color="auto" w:fill="auto"/>
        <w:tabs>
          <w:tab w:val="left" w:pos="732"/>
        </w:tabs>
        <w:spacing w:after="380" w:line="360" w:lineRule="auto"/>
        <w:ind w:left="380"/>
      </w:pPr>
    </w:p>
    <w:p w14:paraId="08F50F49" w14:textId="77777777" w:rsidR="0080235D" w:rsidRPr="00E12F26" w:rsidRDefault="00AA4779">
      <w:pPr>
        <w:pStyle w:val="a0"/>
        <w:shd w:val="clear" w:color="auto" w:fill="auto"/>
        <w:spacing w:line="360" w:lineRule="auto"/>
      </w:pPr>
      <w:r w:rsidRPr="00E12F26">
        <w:t>Биологически активная добавка к пище</w:t>
      </w:r>
    </w:p>
    <w:p w14:paraId="3C582648" w14:textId="77777777" w:rsidR="0080235D" w:rsidRPr="00E12F26" w:rsidRDefault="00AA4779">
      <w:pPr>
        <w:pStyle w:val="a0"/>
        <w:shd w:val="clear" w:color="auto" w:fill="auto"/>
        <w:spacing w:line="360" w:lineRule="auto"/>
      </w:pPr>
      <w:r w:rsidRPr="00E12F26">
        <w:t>Не является лекарством</w:t>
      </w:r>
    </w:p>
    <w:p w14:paraId="1CC16BEE" w14:textId="77777777" w:rsidR="0080235D" w:rsidRPr="00E12F26" w:rsidRDefault="00AA4779">
      <w:pPr>
        <w:pStyle w:val="a0"/>
        <w:shd w:val="clear" w:color="auto" w:fill="auto"/>
        <w:spacing w:after="380" w:line="360" w:lineRule="auto"/>
      </w:pPr>
      <w:r w:rsidRPr="00E12F26">
        <w:t>30 капсул</w:t>
      </w:r>
    </w:p>
    <w:p w14:paraId="43563FC9" w14:textId="0F818054" w:rsidR="0080235D" w:rsidRDefault="00AA4779">
      <w:pPr>
        <w:pStyle w:val="a0"/>
        <w:shd w:val="clear" w:color="auto" w:fill="auto"/>
        <w:spacing w:after="380"/>
        <w:jc w:val="both"/>
      </w:pPr>
      <w:r>
        <w:rPr>
          <w:b/>
          <w:bCs/>
        </w:rPr>
        <w:t>Ингредиенты:</w:t>
      </w:r>
      <w:r w:rsidR="00E12F26">
        <w:rPr>
          <w:b/>
          <w:bCs/>
        </w:rPr>
        <w:t xml:space="preserve"> </w:t>
      </w:r>
      <w:r w:rsidR="00E12F26" w:rsidRPr="00E12F26">
        <w:t>ры</w:t>
      </w:r>
      <w:r>
        <w:t xml:space="preserve">бий жир (полиненасыщенные жирные кислоты), пчелиный воск, сульфат железа, </w:t>
      </w:r>
      <w:r>
        <w:rPr>
          <w:lang w:val="en-US" w:eastAsia="en-US" w:bidi="en-US"/>
        </w:rPr>
        <w:t>L</w:t>
      </w:r>
      <w:r>
        <w:t xml:space="preserve">-аскорбиновая кислота, сульфат цинка, </w:t>
      </w:r>
      <w:r>
        <w:rPr>
          <w:lang w:val="en-US" w:eastAsia="en-US" w:bidi="en-US"/>
        </w:rPr>
        <w:t>D</w:t>
      </w:r>
      <w:r>
        <w:t xml:space="preserve">-альфа-токоферол (витамин Е), </w:t>
      </w:r>
      <w:proofErr w:type="spellStart"/>
      <w:r>
        <w:t>никотинамид</w:t>
      </w:r>
      <w:proofErr w:type="spellEnd"/>
      <w:r>
        <w:t xml:space="preserve"> (витамин В3), </w:t>
      </w:r>
      <w:r>
        <w:rPr>
          <w:lang w:val="en-US" w:eastAsia="en-US" w:bidi="en-US"/>
        </w:rPr>
        <w:t>D</w:t>
      </w:r>
      <w:r>
        <w:t>-</w:t>
      </w:r>
      <w:proofErr w:type="spellStart"/>
      <w:r>
        <w:t>пантотенат</w:t>
      </w:r>
      <w:proofErr w:type="spellEnd"/>
      <w:r>
        <w:t xml:space="preserve">, кальций (витамин В5), марганца сульфат, меди сульфат, </w:t>
      </w:r>
      <w:proofErr w:type="spellStart"/>
      <w:r>
        <w:t>цианокобаламин</w:t>
      </w:r>
      <w:proofErr w:type="spellEnd"/>
      <w:r>
        <w:t xml:space="preserve"> (в</w:t>
      </w:r>
      <w:r>
        <w:t xml:space="preserve">итамин В12), пиридоксина гидрохлорид (витамин В6), рибофлавин (витамин В2), тиамина </w:t>
      </w:r>
      <w:proofErr w:type="spellStart"/>
      <w:r>
        <w:t>мононитрат</w:t>
      </w:r>
      <w:proofErr w:type="spellEnd"/>
      <w:r>
        <w:t xml:space="preserve"> (витамин В1), фолиевая кислота, калия йодид, селенит натрия, биотин (витамин В8), желатин (стенка капсулы), глицерин (увлажнитель), краситель оксид железа красны</w:t>
      </w:r>
      <w:r>
        <w:t>й (Е 172), краситель оксид железа черный (Е 172).</w:t>
      </w:r>
    </w:p>
    <w:p w14:paraId="7624D8AD" w14:textId="7C7AAA9E" w:rsidR="00E12F26" w:rsidRDefault="00E12F26">
      <w:pPr>
        <w:pStyle w:val="a0"/>
        <w:shd w:val="clear" w:color="auto" w:fill="auto"/>
        <w:spacing w:after="380"/>
        <w:jc w:val="both"/>
      </w:pPr>
      <w:r>
        <w:rPr>
          <w:b/>
          <w:bCs/>
        </w:rPr>
        <w:t>Номер серии, дата изготовления, «годен до…»</w:t>
      </w:r>
      <w:r>
        <w:rPr>
          <w:b/>
          <w:bCs/>
        </w:rPr>
        <w:t xml:space="preserve"> </w:t>
      </w:r>
      <w:r>
        <w:t>указан на упаковке).</w:t>
      </w:r>
    </w:p>
    <w:p w14:paraId="5ED9CFF2" w14:textId="77777777" w:rsidR="0080235D" w:rsidRDefault="00AA4779">
      <w:pPr>
        <w:pStyle w:val="a2"/>
        <w:shd w:val="clear" w:color="auto" w:fill="auto"/>
      </w:pPr>
      <w:r>
        <w:t>Состав ВЕЛНАТАЛЬ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0"/>
        <w:gridCol w:w="979"/>
        <w:gridCol w:w="1997"/>
        <w:gridCol w:w="1694"/>
        <w:gridCol w:w="1690"/>
      </w:tblGrid>
      <w:tr w:rsidR="0080235D" w14:paraId="23408DB7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B4D28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Содержание в 1 капс.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BD3FD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ind w:hanging="59"/>
              <w:jc w:val="center"/>
            </w:pPr>
            <w:r>
              <w:t>мг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096A8" w14:textId="3E5B957C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% от рекомендуемого суточного потребления</w:t>
            </w:r>
            <w:r w:rsidR="00E12F26">
              <w:t>*</w:t>
            </w:r>
          </w:p>
        </w:tc>
      </w:tr>
      <w:tr w:rsidR="0080235D" w14:paraId="1DA8DC41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89616B" w14:textId="77777777" w:rsidR="0080235D" w:rsidRDefault="0080235D" w:rsidP="00E12F26">
            <w:pPr>
              <w:jc w:val="center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6B520F" w14:textId="77777777" w:rsidR="0080235D" w:rsidRDefault="0080235D" w:rsidP="00E12F26">
            <w:pPr>
              <w:jc w:val="center"/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803F4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для беременных женщин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CA73E" w14:textId="77777777" w:rsidR="0080235D" w:rsidRDefault="00AA4779" w:rsidP="00E12F26">
            <w:pPr>
              <w:pStyle w:val="a4"/>
              <w:shd w:val="clear" w:color="auto" w:fill="auto"/>
              <w:spacing w:line="360" w:lineRule="auto"/>
              <w:jc w:val="center"/>
            </w:pPr>
            <w:r>
              <w:t>для кормящих женщин</w:t>
            </w:r>
          </w:p>
        </w:tc>
      </w:tr>
      <w:tr w:rsidR="0080235D" w14:paraId="46594319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165E36" w14:textId="77777777" w:rsidR="0080235D" w:rsidRDefault="0080235D" w:rsidP="00E12F26">
            <w:pPr>
              <w:jc w:val="center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292B16" w14:textId="77777777" w:rsidR="0080235D" w:rsidRDefault="0080235D" w:rsidP="00E12F26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6D35E" w14:textId="77777777" w:rsidR="0080235D" w:rsidRDefault="00AA4779" w:rsidP="00E12F26">
            <w:pPr>
              <w:pStyle w:val="a4"/>
              <w:shd w:val="clear" w:color="auto" w:fill="auto"/>
              <w:spacing w:line="360" w:lineRule="auto"/>
              <w:jc w:val="center"/>
            </w:pPr>
            <w:r>
              <w:t>1-я половина беременности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797F7" w14:textId="77777777" w:rsidR="0080235D" w:rsidRDefault="00AA4779" w:rsidP="00E12F26">
            <w:pPr>
              <w:pStyle w:val="a4"/>
              <w:shd w:val="clear" w:color="auto" w:fill="auto"/>
              <w:spacing w:line="360" w:lineRule="auto"/>
              <w:jc w:val="center"/>
            </w:pPr>
            <w:r>
              <w:t>2-я половина беременности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D97E6" w14:textId="77777777" w:rsidR="0080235D" w:rsidRDefault="0080235D" w:rsidP="00E12F26">
            <w:pPr>
              <w:jc w:val="center"/>
            </w:pPr>
          </w:p>
        </w:tc>
      </w:tr>
      <w:tr w:rsidR="0080235D" w14:paraId="0615B95F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FE953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>
              <w:t>Докозагексаеновая</w:t>
            </w:r>
            <w:proofErr w:type="spellEnd"/>
            <w:r>
              <w:t xml:space="preserve"> кислота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70DCA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250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8C2CA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36%</w:t>
            </w:r>
          </w:p>
        </w:tc>
      </w:tr>
      <w:tr w:rsidR="0080235D" w14:paraId="7FC53E87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519E7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>
              <w:t>Эйкозапентаеновая</w:t>
            </w:r>
            <w:proofErr w:type="spellEnd"/>
            <w:r>
              <w:t xml:space="preserve"> кислота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F62B9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50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B28B3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8%</w:t>
            </w:r>
          </w:p>
        </w:tc>
      </w:tr>
    </w:tbl>
    <w:p w14:paraId="4CFCC9A3" w14:textId="77777777" w:rsidR="0080235D" w:rsidRDefault="00AA477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0"/>
        <w:gridCol w:w="979"/>
        <w:gridCol w:w="1997"/>
        <w:gridCol w:w="1694"/>
        <w:gridCol w:w="1690"/>
      </w:tblGrid>
      <w:tr w:rsidR="0080235D" w14:paraId="48BA6B9A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05127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lastRenderedPageBreak/>
              <w:t>Витамин С (аскорбиновая кислота)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5FDF8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320"/>
              <w:jc w:val="both"/>
            </w:pPr>
            <w:r>
              <w:t>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CBA6E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44%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8F5A9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40%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53D38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600"/>
              <w:jc w:val="both"/>
            </w:pPr>
            <w:r>
              <w:t>30%</w:t>
            </w:r>
          </w:p>
        </w:tc>
      </w:tr>
      <w:tr w:rsidR="0080235D" w14:paraId="27109506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EE01E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>
              <w:t>Никотинамид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8AB53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16,0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1737B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80%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817D6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73%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76AFF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600"/>
              <w:jc w:val="both"/>
            </w:pPr>
            <w:r>
              <w:t>70%</w:t>
            </w:r>
          </w:p>
        </w:tc>
      </w:tr>
      <w:tr w:rsidR="0080235D" w14:paraId="1D9ADB49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1DF98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Железо (сульфат)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BB0F3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320"/>
              <w:jc w:val="both"/>
            </w:pPr>
            <w:r>
              <w:t>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00EE0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78%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794D9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42%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60AD8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600"/>
              <w:jc w:val="both"/>
            </w:pPr>
            <w:r>
              <w:t>78%</w:t>
            </w:r>
          </w:p>
        </w:tc>
      </w:tr>
      <w:tr w:rsidR="0080235D" w14:paraId="6EB1B5DB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B38B0" w14:textId="77777777" w:rsidR="0080235D" w:rsidRDefault="00AA4779" w:rsidP="00E12F26">
            <w:pPr>
              <w:pStyle w:val="a4"/>
              <w:shd w:val="clear" w:color="auto" w:fill="auto"/>
              <w:spacing w:line="374" w:lineRule="auto"/>
              <w:jc w:val="center"/>
            </w:pPr>
            <w:r>
              <w:t xml:space="preserve">Витамин Е (натуральный </w:t>
            </w:r>
            <w:r>
              <w:rPr>
                <w:lang w:val="en-US" w:eastAsia="en-US" w:bidi="en-US"/>
              </w:rPr>
              <w:t>D</w:t>
            </w:r>
            <w:r>
              <w:t>-альфа токоферол)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AA87A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12,0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E49C8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80%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14211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71%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059CC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600"/>
              <w:jc w:val="both"/>
            </w:pPr>
            <w:r>
              <w:t>63%</w:t>
            </w:r>
          </w:p>
        </w:tc>
      </w:tr>
      <w:tr w:rsidR="0080235D" w14:paraId="0C02BBCA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A8F17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 xml:space="preserve">Цинк </w:t>
            </w:r>
            <w:r>
              <w:t>(сульфат)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03AFF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320"/>
              <w:jc w:val="both"/>
            </w:pPr>
            <w: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43A14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83%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4EB67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67%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7BBF6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600"/>
              <w:jc w:val="both"/>
            </w:pPr>
            <w:r>
              <w:t>67%</w:t>
            </w:r>
          </w:p>
        </w:tc>
      </w:tr>
      <w:tr w:rsidR="0080235D" w14:paraId="0C017FE9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AEBAE" w14:textId="77777777" w:rsidR="0080235D" w:rsidRDefault="00AA4779" w:rsidP="00E12F26">
            <w:pPr>
              <w:pStyle w:val="a4"/>
              <w:shd w:val="clear" w:color="auto" w:fill="auto"/>
              <w:spacing w:line="360" w:lineRule="auto"/>
              <w:jc w:val="center"/>
            </w:pPr>
            <w:r>
              <w:t>Пантотеновая кислота (</w:t>
            </w:r>
            <w:proofErr w:type="spellStart"/>
            <w:r>
              <w:t>пантотенат</w:t>
            </w:r>
            <w:proofErr w:type="spellEnd"/>
            <w:r>
              <w:t xml:space="preserve"> кальция)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04DFF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6,0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D1D08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100*-120%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F9D3D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100%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00520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600"/>
              <w:jc w:val="both"/>
            </w:pPr>
            <w:r>
              <w:t>86%</w:t>
            </w:r>
          </w:p>
        </w:tc>
      </w:tr>
      <w:tr w:rsidR="0080235D" w14:paraId="7C41DD53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4B49C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Витамин В2 (рибофлавин)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18988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320"/>
              <w:jc w:val="both"/>
            </w:pPr>
            <w:r>
              <w:t>1,4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5FD7A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78%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9E757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70%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CF362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600"/>
              <w:jc w:val="both"/>
            </w:pPr>
            <w:r>
              <w:t>67%</w:t>
            </w:r>
          </w:p>
        </w:tc>
      </w:tr>
      <w:tr w:rsidR="0080235D" w14:paraId="1F4C47FF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4BA8F" w14:textId="77777777" w:rsidR="0080235D" w:rsidRDefault="00AA4779" w:rsidP="00E12F26">
            <w:pPr>
              <w:pStyle w:val="a4"/>
              <w:shd w:val="clear" w:color="auto" w:fill="auto"/>
              <w:spacing w:line="374" w:lineRule="auto"/>
              <w:jc w:val="center"/>
            </w:pPr>
            <w:r>
              <w:t>Витамин В6 (пиридоксина гидрохлорид)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5A7BC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320"/>
              <w:jc w:val="both"/>
            </w:pPr>
            <w:r>
              <w:t>1,4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0C271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70%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05F83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61%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D052C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600"/>
              <w:jc w:val="both"/>
            </w:pPr>
            <w:r>
              <w:t>56%</w:t>
            </w:r>
          </w:p>
        </w:tc>
      </w:tr>
      <w:tr w:rsidR="0080235D" w14:paraId="38C7C982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2C166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Витамин В1 (</w:t>
            </w:r>
            <w:proofErr w:type="spellStart"/>
            <w:r>
              <w:t>мононитрат</w:t>
            </w:r>
            <w:proofErr w:type="spellEnd"/>
            <w: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255FF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9FFB6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73%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3CE6C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65%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2CEE3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600"/>
              <w:jc w:val="both"/>
            </w:pPr>
            <w:r>
              <w:t>61%</w:t>
            </w:r>
          </w:p>
        </w:tc>
      </w:tr>
      <w:tr w:rsidR="0080235D" w14:paraId="5E496F93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A6168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Марганец (сульфат)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7C32C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75A81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50%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7F9CE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45%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71FBC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600"/>
              <w:jc w:val="both"/>
            </w:pPr>
            <w:r>
              <w:t>36%</w:t>
            </w:r>
          </w:p>
        </w:tc>
      </w:tr>
      <w:tr w:rsidR="0080235D" w14:paraId="742BABE6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A330B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Медь (сульфат)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50244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4B94D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5AD91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91%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0716A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600"/>
              <w:jc w:val="both"/>
            </w:pPr>
            <w:r>
              <w:t>71%</w:t>
            </w:r>
          </w:p>
        </w:tc>
      </w:tr>
      <w:tr w:rsidR="0080235D" w14:paraId="32B4DC9B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E7FD4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Фолиевая кислота (витамин В9)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AC9CD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0,400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C7285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2493D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67%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0525E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600"/>
              <w:jc w:val="both"/>
            </w:pPr>
            <w:r>
              <w:t>80%</w:t>
            </w:r>
          </w:p>
        </w:tc>
      </w:tr>
      <w:tr w:rsidR="0080235D" w14:paraId="527A8950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FF4D5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Йод (калия йодид)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07701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0,150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24339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99DBA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68%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4AF00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600"/>
              <w:jc w:val="both"/>
            </w:pPr>
            <w:r>
              <w:t>52%</w:t>
            </w:r>
          </w:p>
        </w:tc>
      </w:tr>
      <w:tr w:rsidR="0080235D" w14:paraId="44B693EF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294A2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Селен (натрия селенит)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CEB23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0,055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560DA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15B72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85%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DEC7F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600"/>
              <w:jc w:val="both"/>
            </w:pPr>
            <w:r>
              <w:t>85%</w:t>
            </w:r>
          </w:p>
        </w:tc>
      </w:tr>
      <w:tr w:rsidR="0080235D" w14:paraId="200900F7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622D3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Биотин (витамин В7, витамин Н)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BAD1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0,050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5A651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100%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A225A" w14:textId="77777777" w:rsidR="0080235D" w:rsidRDefault="0080235D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4C7FE" w14:textId="77777777" w:rsidR="0080235D" w:rsidRDefault="0080235D">
            <w:pPr>
              <w:rPr>
                <w:sz w:val="10"/>
                <w:szCs w:val="10"/>
              </w:rPr>
            </w:pPr>
          </w:p>
        </w:tc>
      </w:tr>
      <w:tr w:rsidR="0080235D" w14:paraId="5B875C93" w14:textId="77777777" w:rsidTr="00E12F2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76C539" w14:textId="77777777" w:rsidR="0080235D" w:rsidRDefault="00AA4779" w:rsidP="00E12F26">
            <w:pPr>
              <w:pStyle w:val="a4"/>
              <w:shd w:val="clear" w:color="auto" w:fill="auto"/>
              <w:spacing w:line="240" w:lineRule="auto"/>
              <w:jc w:val="center"/>
            </w:pPr>
            <w:r>
              <w:t xml:space="preserve">Витамин В12 </w:t>
            </w:r>
            <w:r>
              <w:t>(</w:t>
            </w:r>
            <w:proofErr w:type="spellStart"/>
            <w:r>
              <w:t>цианокобаламин</w:t>
            </w:r>
            <w:proofErr w:type="spellEnd"/>
            <w: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8C5BE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0,0025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6E00A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83%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DCD8D" w14:textId="77777777" w:rsidR="0080235D" w:rsidRDefault="00AA4779">
            <w:pPr>
              <w:pStyle w:val="a4"/>
              <w:shd w:val="clear" w:color="auto" w:fill="auto"/>
              <w:spacing w:line="240" w:lineRule="auto"/>
              <w:jc w:val="center"/>
            </w:pPr>
            <w:r>
              <w:t>71%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385F8" w14:textId="77777777" w:rsidR="0080235D" w:rsidRDefault="00AA4779">
            <w:pPr>
              <w:pStyle w:val="a4"/>
              <w:shd w:val="clear" w:color="auto" w:fill="auto"/>
              <w:spacing w:line="240" w:lineRule="auto"/>
              <w:ind w:firstLine="600"/>
              <w:jc w:val="both"/>
            </w:pPr>
            <w:r>
              <w:t>71%</w:t>
            </w:r>
          </w:p>
        </w:tc>
      </w:tr>
    </w:tbl>
    <w:p w14:paraId="72F7594D" w14:textId="77777777" w:rsidR="0080235D" w:rsidRDefault="0080235D">
      <w:pPr>
        <w:spacing w:after="379" w:line="1" w:lineRule="exact"/>
      </w:pPr>
    </w:p>
    <w:p w14:paraId="1629E060" w14:textId="77777777" w:rsidR="0080235D" w:rsidRDefault="00AA4779">
      <w:pPr>
        <w:pStyle w:val="a0"/>
        <w:shd w:val="clear" w:color="auto" w:fill="auto"/>
        <w:spacing w:after="380"/>
      </w:pPr>
      <w:r>
        <w:t>Пищевая ценность 1 капсулы: белок - 0,1 г, жиры - 0,5 г; энергетическая ценность - 5 ккал (21 кДж).</w:t>
      </w:r>
    </w:p>
    <w:p w14:paraId="5F919106" w14:textId="77777777" w:rsidR="0080235D" w:rsidRDefault="00AA4779" w:rsidP="00E12F26">
      <w:pPr>
        <w:pStyle w:val="a0"/>
        <w:shd w:val="clear" w:color="auto" w:fill="auto"/>
        <w:spacing w:after="120" w:line="240" w:lineRule="auto"/>
      </w:pPr>
      <w:r>
        <w:t xml:space="preserve">Действие Велнаталь определяется витаминами и минералами, входящими в его состав, которые способствуют </w:t>
      </w:r>
      <w:r>
        <w:t>регуляции метаболических процессов и нормализации трофики тканей, образованию ферментов и структурных компонентов тканей, нормальному функционированию органов и систем организма.</w:t>
      </w:r>
    </w:p>
    <w:p w14:paraId="6E757E53" w14:textId="77777777" w:rsidR="0080235D" w:rsidRDefault="00AA4779" w:rsidP="00E12F26">
      <w:pPr>
        <w:pStyle w:val="a0"/>
        <w:shd w:val="clear" w:color="auto" w:fill="auto"/>
        <w:spacing w:line="240" w:lineRule="auto"/>
      </w:pPr>
      <w:proofErr w:type="spellStart"/>
      <w:r>
        <w:rPr>
          <w:b/>
          <w:bCs/>
          <w:i/>
          <w:iCs/>
        </w:rPr>
        <w:t>Докозагексаеновая</w:t>
      </w:r>
      <w:proofErr w:type="spellEnd"/>
      <w:r>
        <w:rPr>
          <w:b/>
          <w:bCs/>
          <w:i/>
          <w:iCs/>
        </w:rPr>
        <w:t xml:space="preserve"> кислота -</w:t>
      </w:r>
      <w:r>
        <w:t xml:space="preserve"> незаменимая полиненасыщенная жирная кислота класса омега-3. Участвует в обеспечении здоровья мозга, нервной системы и повышении остроты зрения.</w:t>
      </w:r>
    </w:p>
    <w:p w14:paraId="2C7C2C9E" w14:textId="77777777" w:rsidR="0080235D" w:rsidRDefault="00AA4779" w:rsidP="00E12F26">
      <w:pPr>
        <w:pStyle w:val="a0"/>
        <w:shd w:val="clear" w:color="auto" w:fill="auto"/>
        <w:spacing w:line="240" w:lineRule="auto"/>
      </w:pPr>
      <w:proofErr w:type="spellStart"/>
      <w:r>
        <w:rPr>
          <w:b/>
          <w:bCs/>
          <w:i/>
          <w:iCs/>
        </w:rPr>
        <w:t>Эйкозапентаеновая</w:t>
      </w:r>
      <w:proofErr w:type="spellEnd"/>
      <w:r>
        <w:rPr>
          <w:b/>
          <w:bCs/>
          <w:i/>
          <w:iCs/>
        </w:rPr>
        <w:t xml:space="preserve"> кислота</w:t>
      </w:r>
      <w:r>
        <w:t xml:space="preserve"> - полиненасыщенная жирная кислота (ПНЖК) класса омега-3. Нормализует здоровье сердечн</w:t>
      </w:r>
      <w:r>
        <w:t>о-сосудистой и иммунной системы.</w:t>
      </w:r>
    </w:p>
    <w:p w14:paraId="32C8639E" w14:textId="77777777" w:rsidR="0080235D" w:rsidRDefault="00AA4779" w:rsidP="00E12F26">
      <w:pPr>
        <w:pStyle w:val="a0"/>
        <w:shd w:val="clear" w:color="auto" w:fill="auto"/>
        <w:spacing w:line="240" w:lineRule="auto"/>
      </w:pPr>
      <w:r>
        <w:rPr>
          <w:b/>
          <w:bCs/>
          <w:i/>
          <w:iCs/>
        </w:rPr>
        <w:t>Витамин С (аскорбиновая кислота)</w:t>
      </w:r>
      <w:r>
        <w:t xml:space="preserve"> принимает участие в регуляции обмена в соединительной ткани, углеводного обмена, стимуляции образования стероидных гормонов, повышении всасывания железа в кишечнике.</w:t>
      </w:r>
    </w:p>
    <w:p w14:paraId="4CA28368" w14:textId="77777777" w:rsidR="0080235D" w:rsidRDefault="00AA4779" w:rsidP="00E12F26">
      <w:pPr>
        <w:pStyle w:val="a0"/>
        <w:shd w:val="clear" w:color="auto" w:fill="auto"/>
        <w:spacing w:line="240" w:lineRule="auto"/>
      </w:pPr>
      <w:proofErr w:type="spellStart"/>
      <w:r>
        <w:rPr>
          <w:b/>
          <w:bCs/>
          <w:i/>
          <w:iCs/>
        </w:rPr>
        <w:t>НикотинамиД</w:t>
      </w:r>
      <w:proofErr w:type="spellEnd"/>
      <w:r>
        <w:t xml:space="preserve"> принимает уч</w:t>
      </w:r>
      <w:r>
        <w:t>астие в окислительно-восстановительных процессах и переносе водорода и фосфата.</w:t>
      </w:r>
    </w:p>
    <w:p w14:paraId="119812E9" w14:textId="77777777" w:rsidR="0080235D" w:rsidRDefault="00AA4779" w:rsidP="00E12F26">
      <w:pPr>
        <w:pStyle w:val="a0"/>
        <w:shd w:val="clear" w:color="auto" w:fill="auto"/>
        <w:spacing w:line="240" w:lineRule="auto"/>
        <w:jc w:val="both"/>
      </w:pPr>
      <w:r>
        <w:rPr>
          <w:b/>
          <w:bCs/>
          <w:i/>
          <w:iCs/>
        </w:rPr>
        <w:t>Железо (сульфат)</w:t>
      </w:r>
      <w:r>
        <w:t xml:space="preserve"> является частью молекулы гемоглобина и способствует предупреждению развития железодефицитной анемии.</w:t>
      </w:r>
    </w:p>
    <w:p w14:paraId="121A3E3A" w14:textId="77777777" w:rsidR="0080235D" w:rsidRDefault="00AA4779" w:rsidP="00E12F26">
      <w:pPr>
        <w:pStyle w:val="a0"/>
        <w:shd w:val="clear" w:color="auto" w:fill="auto"/>
        <w:spacing w:line="240" w:lineRule="auto"/>
        <w:jc w:val="both"/>
      </w:pPr>
      <w:r>
        <w:rPr>
          <w:b/>
          <w:bCs/>
          <w:i/>
          <w:iCs/>
        </w:rPr>
        <w:t xml:space="preserve">Витамин Е (натуральный </w:t>
      </w:r>
      <w:r>
        <w:rPr>
          <w:b/>
          <w:bCs/>
          <w:i/>
          <w:iCs/>
          <w:lang w:val="en-US" w:eastAsia="en-US" w:bidi="en-US"/>
        </w:rPr>
        <w:t>D</w:t>
      </w:r>
      <w:r>
        <w:rPr>
          <w:b/>
          <w:bCs/>
          <w:i/>
          <w:iCs/>
        </w:rPr>
        <w:t>-альфа токоферол)</w:t>
      </w:r>
      <w:r>
        <w:t xml:space="preserve"> является природным антиоксидантом.</w:t>
      </w:r>
    </w:p>
    <w:p w14:paraId="13D1F8C9" w14:textId="77777777" w:rsidR="0080235D" w:rsidRDefault="00AA4779" w:rsidP="00E12F26">
      <w:pPr>
        <w:pStyle w:val="a0"/>
        <w:shd w:val="clear" w:color="auto" w:fill="auto"/>
        <w:spacing w:line="240" w:lineRule="auto"/>
      </w:pPr>
      <w:r>
        <w:rPr>
          <w:b/>
          <w:bCs/>
          <w:i/>
          <w:iCs/>
        </w:rPr>
        <w:t>Цинк (сульфат)</w:t>
      </w:r>
      <w:r>
        <w:t xml:space="preserve"> улучшает синтез инсулина и других гормонов, повышает регенерацию тканей. </w:t>
      </w:r>
      <w:r>
        <w:rPr>
          <w:b/>
          <w:bCs/>
          <w:i/>
          <w:iCs/>
        </w:rPr>
        <w:t>Пантотеновая кислота (</w:t>
      </w:r>
      <w:proofErr w:type="spellStart"/>
      <w:r>
        <w:rPr>
          <w:b/>
          <w:bCs/>
          <w:i/>
          <w:iCs/>
        </w:rPr>
        <w:t>пантотенат</w:t>
      </w:r>
      <w:proofErr w:type="spellEnd"/>
      <w:r>
        <w:rPr>
          <w:b/>
          <w:bCs/>
          <w:i/>
          <w:iCs/>
        </w:rPr>
        <w:t xml:space="preserve"> кальция)</w:t>
      </w:r>
      <w:r>
        <w:t xml:space="preserve"> нормализует метаболизм жиров, белков и углеводов.</w:t>
      </w:r>
    </w:p>
    <w:p w14:paraId="7941F5F5" w14:textId="77777777" w:rsidR="0080235D" w:rsidRDefault="00AA4779" w:rsidP="00E12F26">
      <w:pPr>
        <w:pStyle w:val="a0"/>
        <w:shd w:val="clear" w:color="auto" w:fill="auto"/>
        <w:spacing w:line="240" w:lineRule="auto"/>
        <w:jc w:val="both"/>
      </w:pPr>
      <w:r>
        <w:rPr>
          <w:b/>
          <w:bCs/>
          <w:i/>
          <w:iCs/>
        </w:rPr>
        <w:t>Витамин В2 (рибофлавин)</w:t>
      </w:r>
      <w:r>
        <w:t xml:space="preserve"> нормализует проц</w:t>
      </w:r>
      <w:r>
        <w:t>ессы энергетического обмена.</w:t>
      </w:r>
    </w:p>
    <w:p w14:paraId="7285A805" w14:textId="77777777" w:rsidR="0080235D" w:rsidRDefault="00AA4779" w:rsidP="00E12F26">
      <w:pPr>
        <w:pStyle w:val="a0"/>
        <w:shd w:val="clear" w:color="auto" w:fill="auto"/>
        <w:spacing w:line="240" w:lineRule="auto"/>
        <w:jc w:val="both"/>
      </w:pPr>
      <w:r>
        <w:rPr>
          <w:b/>
          <w:bCs/>
          <w:i/>
          <w:iCs/>
        </w:rPr>
        <w:t>Витамин В6 (пиридоксина гидрохлорид)</w:t>
      </w:r>
      <w:r>
        <w:t xml:space="preserve"> участвует в углеводном, липидном и белковом обмене. Нарушение метаболизма и снижение пиридоксина гидрохлорида в организме происходит при длительном приеме женщинами детородного возраста перо</w:t>
      </w:r>
      <w:r>
        <w:t>ральных контрацептивов.</w:t>
      </w:r>
    </w:p>
    <w:p w14:paraId="0C8BB6F0" w14:textId="77777777" w:rsidR="0080235D" w:rsidRDefault="00AA4779" w:rsidP="00E12F26">
      <w:pPr>
        <w:pStyle w:val="a0"/>
        <w:shd w:val="clear" w:color="auto" w:fill="auto"/>
        <w:spacing w:line="240" w:lineRule="auto"/>
        <w:jc w:val="both"/>
      </w:pPr>
      <w:r>
        <w:rPr>
          <w:b/>
          <w:bCs/>
          <w:i/>
          <w:iCs/>
        </w:rPr>
        <w:t>Витамин В1 (</w:t>
      </w:r>
      <w:proofErr w:type="spellStart"/>
      <w:r>
        <w:rPr>
          <w:b/>
          <w:bCs/>
          <w:i/>
          <w:iCs/>
        </w:rPr>
        <w:t>мононитрат</w:t>
      </w:r>
      <w:proofErr w:type="spellEnd"/>
      <w:r>
        <w:rPr>
          <w:b/>
          <w:bCs/>
          <w:i/>
          <w:iCs/>
        </w:rPr>
        <w:t>)</w:t>
      </w:r>
      <w:r>
        <w:t xml:space="preserve"> участвует в синтезе нейромедиатора ацетилхолина, нормализует работу нервной системы.</w:t>
      </w:r>
    </w:p>
    <w:p w14:paraId="66F5D70C" w14:textId="77777777" w:rsidR="0080235D" w:rsidRDefault="00AA4779" w:rsidP="00E12F26">
      <w:pPr>
        <w:pStyle w:val="a0"/>
        <w:shd w:val="clear" w:color="auto" w:fill="auto"/>
        <w:spacing w:line="240" w:lineRule="auto"/>
        <w:jc w:val="both"/>
      </w:pPr>
      <w:r>
        <w:rPr>
          <w:b/>
          <w:bCs/>
          <w:i/>
          <w:iCs/>
        </w:rPr>
        <w:lastRenderedPageBreak/>
        <w:t>Марганец (сульфат)</w:t>
      </w:r>
      <w:r>
        <w:t xml:space="preserve"> способствует минерализации костной ткани.</w:t>
      </w:r>
    </w:p>
    <w:p w14:paraId="0047DA9A" w14:textId="58CECF2B" w:rsidR="0080235D" w:rsidRDefault="00AA4779" w:rsidP="00E12F26">
      <w:pPr>
        <w:pStyle w:val="a0"/>
        <w:shd w:val="clear" w:color="auto" w:fill="auto"/>
        <w:spacing w:line="240" w:lineRule="auto"/>
        <w:jc w:val="both"/>
      </w:pPr>
      <w:r>
        <w:rPr>
          <w:b/>
          <w:bCs/>
          <w:i/>
          <w:iCs/>
        </w:rPr>
        <w:t>Ме</w:t>
      </w:r>
      <w:r w:rsidR="00097C1F">
        <w:rPr>
          <w:b/>
          <w:bCs/>
          <w:i/>
          <w:iCs/>
        </w:rPr>
        <w:t>д</w:t>
      </w:r>
      <w:r>
        <w:rPr>
          <w:b/>
          <w:bCs/>
          <w:i/>
          <w:iCs/>
        </w:rPr>
        <w:t>ь (сульфат)</w:t>
      </w:r>
      <w:r>
        <w:t xml:space="preserve"> способствует нормальной функции эритроцитов и о</w:t>
      </w:r>
      <w:r>
        <w:t>бмена железа.</w:t>
      </w:r>
    </w:p>
    <w:p w14:paraId="27D26DEA" w14:textId="77777777" w:rsidR="00097C1F" w:rsidRDefault="00AA4779" w:rsidP="00E12F26">
      <w:pPr>
        <w:pStyle w:val="a0"/>
        <w:shd w:val="clear" w:color="auto" w:fill="auto"/>
        <w:spacing w:line="240" w:lineRule="auto"/>
        <w:jc w:val="both"/>
      </w:pPr>
      <w:r>
        <w:rPr>
          <w:b/>
          <w:bCs/>
          <w:i/>
          <w:iCs/>
        </w:rPr>
        <w:t>Фолиевая кислота (витамин В9)</w:t>
      </w:r>
      <w:r>
        <w:t xml:space="preserve"> улучшает кроветворение. Применение при планировании беременности и во время беременности помогает предотвратить развитие пороков развития у плода. </w:t>
      </w:r>
    </w:p>
    <w:p w14:paraId="5F9A075B" w14:textId="41097678" w:rsidR="0080235D" w:rsidRDefault="00AA4779" w:rsidP="00E12F26">
      <w:pPr>
        <w:pStyle w:val="a0"/>
        <w:shd w:val="clear" w:color="auto" w:fill="auto"/>
        <w:spacing w:line="240" w:lineRule="auto"/>
        <w:jc w:val="both"/>
      </w:pPr>
      <w:r>
        <w:rPr>
          <w:b/>
          <w:bCs/>
          <w:i/>
          <w:iCs/>
        </w:rPr>
        <w:t>Йо</w:t>
      </w:r>
      <w:r w:rsidR="00097C1F">
        <w:rPr>
          <w:b/>
          <w:bCs/>
          <w:i/>
          <w:iCs/>
        </w:rPr>
        <w:t>д</w:t>
      </w:r>
      <w:r>
        <w:rPr>
          <w:b/>
          <w:bCs/>
          <w:i/>
          <w:iCs/>
        </w:rPr>
        <w:t xml:space="preserve"> (калия йо</w:t>
      </w:r>
      <w:r w:rsidR="00097C1F">
        <w:rPr>
          <w:b/>
          <w:bCs/>
          <w:i/>
          <w:iCs/>
        </w:rPr>
        <w:t>д</w:t>
      </w:r>
      <w:r>
        <w:rPr>
          <w:b/>
          <w:bCs/>
          <w:i/>
          <w:iCs/>
        </w:rPr>
        <w:t>и</w:t>
      </w:r>
      <w:r w:rsidR="00097C1F">
        <w:rPr>
          <w:b/>
          <w:bCs/>
          <w:i/>
          <w:iCs/>
        </w:rPr>
        <w:t>д</w:t>
      </w:r>
      <w:r>
        <w:rPr>
          <w:b/>
          <w:bCs/>
          <w:i/>
          <w:iCs/>
        </w:rPr>
        <w:t>)</w:t>
      </w:r>
      <w:r>
        <w:t xml:space="preserve"> является жизненно важным микроэлементом, способ</w:t>
      </w:r>
      <w:r>
        <w:t>ствует нормальной работе щитовидной железы.</w:t>
      </w:r>
    </w:p>
    <w:p w14:paraId="33191DDB" w14:textId="77777777" w:rsidR="0080235D" w:rsidRDefault="00AA4779" w:rsidP="00E12F26">
      <w:pPr>
        <w:pStyle w:val="a0"/>
        <w:shd w:val="clear" w:color="auto" w:fill="auto"/>
        <w:spacing w:line="240" w:lineRule="auto"/>
        <w:jc w:val="both"/>
      </w:pPr>
      <w:r>
        <w:rPr>
          <w:b/>
          <w:bCs/>
          <w:i/>
          <w:iCs/>
        </w:rPr>
        <w:t>Селен (натрия селенит)</w:t>
      </w:r>
      <w:r>
        <w:t xml:space="preserve"> микроэлемент, входящий в состав всех клеток организма, важнейший элемент антиоксидантной защиты, улучшает иммуномодулирующее действие, участвует в регуляции гормонов щитовидной железы.</w:t>
      </w:r>
    </w:p>
    <w:p w14:paraId="659B1CB8" w14:textId="77777777" w:rsidR="0080235D" w:rsidRDefault="00AA4779" w:rsidP="00E12F26">
      <w:pPr>
        <w:pStyle w:val="a0"/>
        <w:shd w:val="clear" w:color="auto" w:fill="auto"/>
        <w:spacing w:line="240" w:lineRule="auto"/>
        <w:jc w:val="both"/>
      </w:pPr>
      <w:r>
        <w:rPr>
          <w:b/>
          <w:bCs/>
          <w:i/>
          <w:iCs/>
        </w:rPr>
        <w:t>Биот</w:t>
      </w:r>
      <w:r>
        <w:rPr>
          <w:b/>
          <w:bCs/>
          <w:i/>
          <w:iCs/>
        </w:rPr>
        <w:t>ин (витамин В7, витамин Н)</w:t>
      </w:r>
      <w:r>
        <w:t xml:space="preserve"> участвует в регуляции белкового и жирового обмена.</w:t>
      </w:r>
    </w:p>
    <w:p w14:paraId="0AA9A799" w14:textId="2312B23C" w:rsidR="0080235D" w:rsidRDefault="00AA4779" w:rsidP="00E12F26">
      <w:pPr>
        <w:pStyle w:val="a0"/>
        <w:shd w:val="clear" w:color="auto" w:fill="auto"/>
        <w:spacing w:line="240" w:lineRule="auto"/>
        <w:jc w:val="both"/>
      </w:pPr>
      <w:r>
        <w:rPr>
          <w:b/>
          <w:bCs/>
          <w:i/>
          <w:iCs/>
        </w:rPr>
        <w:t>Витамин В12 (</w:t>
      </w:r>
      <w:proofErr w:type="spellStart"/>
      <w:r>
        <w:rPr>
          <w:b/>
          <w:bCs/>
          <w:i/>
          <w:iCs/>
        </w:rPr>
        <w:t>цианокобаламин</w:t>
      </w:r>
      <w:proofErr w:type="spellEnd"/>
      <w:r>
        <w:rPr>
          <w:b/>
          <w:bCs/>
          <w:i/>
          <w:iCs/>
        </w:rPr>
        <w:t>)</w:t>
      </w:r>
      <w:r>
        <w:t xml:space="preserve"> участвует в синтезе нуклеиновых кислот, улучшает процессы кроветворения. Нарушение метаболизма и снижение </w:t>
      </w:r>
      <w:proofErr w:type="spellStart"/>
      <w:r>
        <w:t>цианокобаламина</w:t>
      </w:r>
      <w:proofErr w:type="spellEnd"/>
      <w:r>
        <w:t xml:space="preserve"> в организме происходит при </w:t>
      </w:r>
      <w:r>
        <w:t>длительном приеме женщинами детородного возраста пероральных контрацептивов.</w:t>
      </w:r>
    </w:p>
    <w:p w14:paraId="1F4C7D11" w14:textId="77777777" w:rsidR="00097C1F" w:rsidRDefault="00097C1F" w:rsidP="00E12F26">
      <w:pPr>
        <w:pStyle w:val="a0"/>
        <w:shd w:val="clear" w:color="auto" w:fill="auto"/>
        <w:spacing w:line="240" w:lineRule="auto"/>
        <w:jc w:val="both"/>
      </w:pPr>
    </w:p>
    <w:p w14:paraId="298F4983" w14:textId="77777777" w:rsidR="0080235D" w:rsidRDefault="00AA4779" w:rsidP="00097C1F">
      <w:pPr>
        <w:pStyle w:val="a0"/>
        <w:shd w:val="clear" w:color="auto" w:fill="auto"/>
        <w:spacing w:after="120" w:line="240" w:lineRule="auto"/>
        <w:jc w:val="both"/>
      </w:pPr>
      <w:r>
        <w:rPr>
          <w:b/>
          <w:bCs/>
        </w:rPr>
        <w:t xml:space="preserve">Область применения: </w:t>
      </w:r>
      <w:r>
        <w:t>в качес</w:t>
      </w:r>
      <w:r w:rsidRPr="00097C1F">
        <w:t xml:space="preserve">тве биологически активной добавки к пище - дополнительного источника витаминов, минеральных веществ и полиненасыщенных жирных кислот семейства омега-3 </w:t>
      </w:r>
      <w:r w:rsidRPr="00097C1F">
        <w:t>д</w:t>
      </w:r>
      <w:r w:rsidRPr="00097C1F">
        <w:t>ля беременных и кормящих женщин.</w:t>
      </w:r>
    </w:p>
    <w:p w14:paraId="7903F184" w14:textId="77777777" w:rsidR="0080235D" w:rsidRDefault="00AA4779" w:rsidP="00097C1F">
      <w:pPr>
        <w:pStyle w:val="a0"/>
        <w:shd w:val="clear" w:color="auto" w:fill="auto"/>
        <w:spacing w:line="240" w:lineRule="auto"/>
        <w:jc w:val="both"/>
      </w:pPr>
      <w:r>
        <w:t>Недостаток витаминов, минеральных веществ и полиненасыщенных жирных кислот семейства омега-3 может приводить к неблагоприятным последствиям и развитию острых и хронических заболеваний у женщин в различные периоды жизни. Заб</w:t>
      </w:r>
      <w:r>
        <w:t>лаговременное начало приема Велнаталь поможет женщине восполнить потребность организма в витаминах, минеральных веществах и полиненасыщенных жирных кислотах семейства омега-3 при следующих состояниях:</w:t>
      </w:r>
    </w:p>
    <w:p w14:paraId="45F1B545" w14:textId="124F6AD6" w:rsidR="0080235D" w:rsidRDefault="00AA4779" w:rsidP="00097C1F">
      <w:pPr>
        <w:pStyle w:val="a0"/>
        <w:shd w:val="clear" w:color="auto" w:fill="auto"/>
        <w:spacing w:line="240" w:lineRule="auto"/>
        <w:ind w:firstLine="380"/>
        <w:jc w:val="both"/>
      </w:pPr>
      <w:r>
        <w:rPr>
          <w:rFonts w:ascii="Arial" w:eastAsia="Arial" w:hAnsi="Arial" w:cs="Arial"/>
        </w:rPr>
        <w:t>•</w:t>
      </w:r>
      <w:r w:rsidR="00097C1F">
        <w:rPr>
          <w:rFonts w:ascii="Arial" w:eastAsia="Arial" w:hAnsi="Arial" w:cs="Arial"/>
        </w:rPr>
        <w:tab/>
      </w:r>
      <w:r>
        <w:t>Недостаточное и несбалансированное питание;</w:t>
      </w:r>
    </w:p>
    <w:p w14:paraId="64C3E9F6" w14:textId="3C445C96" w:rsidR="0080235D" w:rsidRDefault="00AA4779" w:rsidP="00097C1F">
      <w:pPr>
        <w:pStyle w:val="a0"/>
        <w:shd w:val="clear" w:color="auto" w:fill="auto"/>
        <w:spacing w:line="240" w:lineRule="auto"/>
        <w:ind w:firstLine="380"/>
        <w:jc w:val="both"/>
      </w:pPr>
      <w:r>
        <w:rPr>
          <w:rFonts w:ascii="Arial" w:eastAsia="Arial" w:hAnsi="Arial" w:cs="Arial"/>
        </w:rPr>
        <w:t>•</w:t>
      </w:r>
      <w:r w:rsidR="00097C1F">
        <w:rPr>
          <w:rFonts w:ascii="Arial" w:eastAsia="Arial" w:hAnsi="Arial" w:cs="Arial"/>
        </w:rPr>
        <w:tab/>
      </w:r>
      <w:r>
        <w:t>Интенсивные умственные и физические нагрузки;</w:t>
      </w:r>
    </w:p>
    <w:p w14:paraId="4AF370A9" w14:textId="77777777" w:rsidR="0080235D" w:rsidRDefault="00AA4779" w:rsidP="00097C1F">
      <w:pPr>
        <w:pStyle w:val="a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380"/>
        <w:jc w:val="both"/>
      </w:pPr>
      <w:r>
        <w:rPr>
          <w:color w:val="0D0D0D"/>
        </w:rPr>
        <w:t>Период проведения антибиотикотерапии;</w:t>
      </w:r>
    </w:p>
    <w:p w14:paraId="7835EB9E" w14:textId="77777777" w:rsidR="0080235D" w:rsidRDefault="00AA4779" w:rsidP="00097C1F">
      <w:pPr>
        <w:pStyle w:val="a0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firstLine="380"/>
        <w:jc w:val="both"/>
      </w:pPr>
      <w:r>
        <w:t>Период выздоровления после перенесенных заболеваний;</w:t>
      </w:r>
    </w:p>
    <w:p w14:paraId="479CFFA3" w14:textId="459C29F1" w:rsidR="0080235D" w:rsidRPr="00097C1F" w:rsidRDefault="00AA4779" w:rsidP="00097C1F">
      <w:pPr>
        <w:pStyle w:val="a0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firstLine="380"/>
        <w:jc w:val="both"/>
      </w:pPr>
      <w:r>
        <w:rPr>
          <w:color w:val="0D0D0D"/>
        </w:rPr>
        <w:t>При длительном применении перо</w:t>
      </w:r>
      <w:r>
        <w:rPr>
          <w:color w:val="0D0D0D"/>
        </w:rPr>
        <w:t>ральных контрацептивов</w:t>
      </w:r>
      <w:r w:rsidR="00097C1F">
        <w:rPr>
          <w:color w:val="0D0D0D"/>
        </w:rPr>
        <w:t>,</w:t>
      </w:r>
    </w:p>
    <w:p w14:paraId="4981F939" w14:textId="2ACA848E" w:rsidR="00097C1F" w:rsidRDefault="00097C1F" w:rsidP="00097C1F">
      <w:pPr>
        <w:pStyle w:val="a0"/>
        <w:numPr>
          <w:ilvl w:val="0"/>
          <w:numId w:val="1"/>
        </w:numPr>
        <w:shd w:val="clear" w:color="auto" w:fill="auto"/>
        <w:spacing w:line="240" w:lineRule="auto"/>
        <w:ind w:firstLine="380"/>
      </w:pPr>
      <w:r>
        <w:t>Для женщин, планирующих беременность;</w:t>
      </w:r>
    </w:p>
    <w:p w14:paraId="1A42E6BC" w14:textId="411C221A" w:rsidR="00097C1F" w:rsidRDefault="00097C1F" w:rsidP="00097C1F">
      <w:pPr>
        <w:pStyle w:val="a0"/>
        <w:numPr>
          <w:ilvl w:val="0"/>
          <w:numId w:val="1"/>
        </w:numPr>
        <w:shd w:val="clear" w:color="auto" w:fill="auto"/>
        <w:spacing w:line="240" w:lineRule="auto"/>
        <w:ind w:firstLine="380"/>
        <w:jc w:val="both"/>
      </w:pPr>
      <w:r>
        <w:t>Для женщин в период лактации и беременности</w:t>
      </w:r>
      <w:r>
        <w:t>.</w:t>
      </w:r>
    </w:p>
    <w:p w14:paraId="1301DCD8" w14:textId="77777777" w:rsidR="00097C1F" w:rsidRDefault="00097C1F" w:rsidP="00097C1F">
      <w:pPr>
        <w:pStyle w:val="a0"/>
        <w:shd w:val="clear" w:color="auto" w:fill="auto"/>
        <w:tabs>
          <w:tab w:val="left" w:pos="721"/>
        </w:tabs>
        <w:spacing w:line="240" w:lineRule="auto"/>
        <w:ind w:left="380"/>
        <w:jc w:val="both"/>
      </w:pPr>
    </w:p>
    <w:p w14:paraId="6D07F823" w14:textId="77777777" w:rsidR="0080235D" w:rsidRDefault="00AA4779" w:rsidP="00097C1F">
      <w:pPr>
        <w:pStyle w:val="a0"/>
        <w:shd w:val="clear" w:color="auto" w:fill="auto"/>
        <w:spacing w:after="120" w:line="240" w:lineRule="auto"/>
        <w:jc w:val="both"/>
      </w:pPr>
      <w:r>
        <w:rPr>
          <w:b/>
          <w:bCs/>
        </w:rPr>
        <w:t xml:space="preserve">Рекомендации по применению: </w:t>
      </w:r>
      <w:r>
        <w:t>взрослым женщинам в возрасте от 18 лет по 1 капсуле в день во время еды.</w:t>
      </w:r>
    </w:p>
    <w:p w14:paraId="65C75471" w14:textId="77777777" w:rsidR="0080235D" w:rsidRDefault="00AA4779" w:rsidP="00097C1F">
      <w:pPr>
        <w:pStyle w:val="a0"/>
        <w:shd w:val="clear" w:color="auto" w:fill="auto"/>
        <w:spacing w:line="240" w:lineRule="auto"/>
        <w:jc w:val="both"/>
      </w:pPr>
      <w:r>
        <w:rPr>
          <w:b/>
          <w:bCs/>
        </w:rPr>
        <w:t xml:space="preserve">Противопоказания: </w:t>
      </w:r>
      <w:r>
        <w:t>индивидуальная непереносимость компонентов БАД.</w:t>
      </w:r>
    </w:p>
    <w:p w14:paraId="2AFF6B76" w14:textId="77777777" w:rsidR="0080235D" w:rsidRDefault="00AA4779" w:rsidP="00097C1F">
      <w:pPr>
        <w:pStyle w:val="a0"/>
        <w:shd w:val="clear" w:color="auto" w:fill="auto"/>
        <w:spacing w:after="120" w:line="240" w:lineRule="auto"/>
        <w:jc w:val="both"/>
      </w:pPr>
      <w:r>
        <w:t>Перед применением рекомендуется проконсультироваться с врачом.</w:t>
      </w:r>
    </w:p>
    <w:p w14:paraId="23CA63BD" w14:textId="77777777" w:rsidR="0080235D" w:rsidRDefault="00AA4779" w:rsidP="00097C1F">
      <w:pPr>
        <w:pStyle w:val="a0"/>
        <w:shd w:val="clear" w:color="auto" w:fill="auto"/>
        <w:spacing w:after="120" w:line="240" w:lineRule="auto"/>
      </w:pPr>
      <w:r>
        <w:rPr>
          <w:b/>
          <w:bCs/>
        </w:rPr>
        <w:t>Св</w:t>
      </w:r>
      <w:r>
        <w:rPr>
          <w:b/>
          <w:bCs/>
        </w:rPr>
        <w:t xml:space="preserve">идетельство о государственной регистрации: </w:t>
      </w:r>
      <w:r>
        <w:t xml:space="preserve">№ </w:t>
      </w:r>
      <w:r>
        <w:rPr>
          <w:lang w:val="en-US" w:eastAsia="en-US" w:bidi="en-US"/>
        </w:rPr>
        <w:t>RU</w:t>
      </w:r>
      <w:r w:rsidRPr="00E12F26">
        <w:rPr>
          <w:lang w:eastAsia="en-US" w:bidi="en-US"/>
        </w:rPr>
        <w:t>.77.99.11.003.</w:t>
      </w:r>
      <w:r>
        <w:rPr>
          <w:lang w:val="en-US" w:eastAsia="en-US" w:bidi="en-US"/>
        </w:rPr>
        <w:t>E</w:t>
      </w:r>
      <w:r w:rsidRPr="00E12F26">
        <w:rPr>
          <w:lang w:eastAsia="en-US" w:bidi="en-US"/>
        </w:rPr>
        <w:t xml:space="preserve">.000174.01.16 </w:t>
      </w:r>
      <w:r>
        <w:t>от 22.01.2016 г.</w:t>
      </w:r>
    </w:p>
    <w:p w14:paraId="26610348" w14:textId="77777777" w:rsidR="0080235D" w:rsidRDefault="00AA4779" w:rsidP="00097C1F">
      <w:pPr>
        <w:pStyle w:val="a0"/>
        <w:shd w:val="clear" w:color="auto" w:fill="auto"/>
        <w:spacing w:after="120" w:line="240" w:lineRule="auto"/>
        <w:jc w:val="both"/>
      </w:pPr>
      <w:r>
        <w:rPr>
          <w:b/>
          <w:bCs/>
        </w:rPr>
        <w:t xml:space="preserve">Условия хранения: </w:t>
      </w:r>
      <w:r>
        <w:t>хранить в плотно закрытой упаковке в сухом месте, защищенном от прямого солнечного света, недоступном для детей, при температуре не выше 25</w:t>
      </w:r>
      <w:r>
        <w:rPr>
          <w:vertAlign w:val="superscript"/>
        </w:rPr>
        <w:t>о</w:t>
      </w:r>
      <w:r>
        <w:t>С.</w:t>
      </w:r>
    </w:p>
    <w:p w14:paraId="72C7AEC7" w14:textId="77777777" w:rsidR="0080235D" w:rsidRDefault="00AA4779" w:rsidP="00097C1F">
      <w:pPr>
        <w:pStyle w:val="a0"/>
        <w:shd w:val="clear" w:color="auto" w:fill="auto"/>
        <w:spacing w:after="120" w:line="240" w:lineRule="auto"/>
      </w:pPr>
      <w:r>
        <w:rPr>
          <w:b/>
          <w:bCs/>
        </w:rPr>
        <w:t>Ср</w:t>
      </w:r>
      <w:r>
        <w:rPr>
          <w:b/>
          <w:bCs/>
        </w:rPr>
        <w:t xml:space="preserve">ок годности: </w:t>
      </w:r>
      <w:r>
        <w:t>2 года.</w:t>
      </w:r>
    </w:p>
    <w:p w14:paraId="71890F63" w14:textId="77777777" w:rsidR="0080235D" w:rsidRPr="00097C1F" w:rsidRDefault="00AA4779" w:rsidP="00097C1F">
      <w:pPr>
        <w:pStyle w:val="a0"/>
        <w:shd w:val="clear" w:color="auto" w:fill="auto"/>
        <w:spacing w:after="120" w:line="240" w:lineRule="auto"/>
        <w:jc w:val="both"/>
      </w:pPr>
      <w:r>
        <w:rPr>
          <w:b/>
          <w:bCs/>
        </w:rPr>
        <w:t xml:space="preserve">Производитель: </w:t>
      </w:r>
      <w:r w:rsidRPr="00097C1F">
        <w:rPr>
          <w:lang w:eastAsia="en-US" w:bidi="en-US"/>
        </w:rPr>
        <w:t>“</w:t>
      </w:r>
      <w:proofErr w:type="spellStart"/>
      <w:r w:rsidRPr="00097C1F">
        <w:rPr>
          <w:lang w:val="en-US" w:eastAsia="en-US" w:bidi="en-US"/>
        </w:rPr>
        <w:t>Laboratorios</w:t>
      </w:r>
      <w:proofErr w:type="spellEnd"/>
      <w:r w:rsidRPr="00097C1F">
        <w:rPr>
          <w:lang w:eastAsia="en-US" w:bidi="en-US"/>
        </w:rPr>
        <w:t xml:space="preserve"> </w:t>
      </w:r>
      <w:proofErr w:type="spellStart"/>
      <w:r w:rsidRPr="00097C1F">
        <w:rPr>
          <w:lang w:val="en-US" w:eastAsia="en-US" w:bidi="en-US"/>
        </w:rPr>
        <w:t>Liconsa</w:t>
      </w:r>
      <w:proofErr w:type="spellEnd"/>
      <w:r w:rsidRPr="00097C1F">
        <w:rPr>
          <w:lang w:eastAsia="en-US" w:bidi="en-US"/>
        </w:rPr>
        <w:t xml:space="preserve">, </w:t>
      </w:r>
      <w:r w:rsidRPr="00097C1F">
        <w:rPr>
          <w:lang w:val="en-US" w:eastAsia="en-US" w:bidi="en-US"/>
        </w:rPr>
        <w:t>S</w:t>
      </w:r>
      <w:r w:rsidRPr="00097C1F">
        <w:rPr>
          <w:lang w:eastAsia="en-US" w:bidi="en-US"/>
        </w:rPr>
        <w:t>.</w:t>
      </w:r>
      <w:r w:rsidRPr="00097C1F">
        <w:rPr>
          <w:lang w:val="en-US" w:eastAsia="en-US" w:bidi="en-US"/>
        </w:rPr>
        <w:t>A</w:t>
      </w:r>
      <w:r w:rsidRPr="00097C1F">
        <w:rPr>
          <w:lang w:eastAsia="en-US" w:bidi="en-US"/>
        </w:rPr>
        <w:t xml:space="preserve">”, </w:t>
      </w:r>
      <w:proofErr w:type="spellStart"/>
      <w:r w:rsidRPr="00097C1F">
        <w:rPr>
          <w:lang w:val="en-US" w:eastAsia="en-US" w:bidi="en-US"/>
        </w:rPr>
        <w:t>Avda</w:t>
      </w:r>
      <w:proofErr w:type="spellEnd"/>
      <w:r w:rsidRPr="00097C1F">
        <w:rPr>
          <w:lang w:eastAsia="en-US" w:bidi="en-US"/>
        </w:rPr>
        <w:t xml:space="preserve">. </w:t>
      </w:r>
      <w:proofErr w:type="spellStart"/>
      <w:r w:rsidRPr="00097C1F">
        <w:rPr>
          <w:lang w:val="en-US" w:eastAsia="en-US" w:bidi="en-US"/>
        </w:rPr>
        <w:t>Miralcampo</w:t>
      </w:r>
      <w:proofErr w:type="spellEnd"/>
      <w:r w:rsidRPr="00097C1F">
        <w:rPr>
          <w:lang w:eastAsia="en-US" w:bidi="en-US"/>
        </w:rPr>
        <w:t xml:space="preserve">, </w:t>
      </w:r>
      <w:r w:rsidRPr="00097C1F">
        <w:t xml:space="preserve">7, </w:t>
      </w:r>
      <w:r w:rsidRPr="00097C1F">
        <w:rPr>
          <w:lang w:val="en-US" w:eastAsia="en-US" w:bidi="en-US"/>
        </w:rPr>
        <w:t>Pol</w:t>
      </w:r>
      <w:r w:rsidRPr="00097C1F">
        <w:rPr>
          <w:lang w:eastAsia="en-US" w:bidi="en-US"/>
        </w:rPr>
        <w:t xml:space="preserve">. </w:t>
      </w:r>
      <w:r w:rsidRPr="00097C1F">
        <w:rPr>
          <w:lang w:val="en-US" w:eastAsia="en-US" w:bidi="en-US"/>
        </w:rPr>
        <w:t>Ind</w:t>
      </w:r>
      <w:r w:rsidRPr="00097C1F">
        <w:rPr>
          <w:lang w:eastAsia="en-US" w:bidi="en-US"/>
        </w:rPr>
        <w:t xml:space="preserve">. </w:t>
      </w:r>
      <w:proofErr w:type="spellStart"/>
      <w:r w:rsidRPr="00097C1F">
        <w:rPr>
          <w:lang w:val="en-US" w:eastAsia="en-US" w:bidi="en-US"/>
        </w:rPr>
        <w:t>Miralcampo</w:t>
      </w:r>
      <w:proofErr w:type="spellEnd"/>
      <w:r w:rsidRPr="00097C1F">
        <w:rPr>
          <w:lang w:eastAsia="en-US" w:bidi="en-US"/>
        </w:rPr>
        <w:t xml:space="preserve">, </w:t>
      </w:r>
      <w:proofErr w:type="spellStart"/>
      <w:r w:rsidRPr="00097C1F">
        <w:rPr>
          <w:lang w:val="en-US" w:eastAsia="en-US" w:bidi="en-US"/>
        </w:rPr>
        <w:t>Azuqueca</w:t>
      </w:r>
      <w:proofErr w:type="spellEnd"/>
      <w:r w:rsidRPr="00097C1F">
        <w:rPr>
          <w:lang w:eastAsia="en-US" w:bidi="en-US"/>
        </w:rPr>
        <w:t xml:space="preserve"> </w:t>
      </w:r>
      <w:r w:rsidRPr="00097C1F">
        <w:rPr>
          <w:lang w:val="en-US" w:eastAsia="en-US" w:bidi="en-US"/>
        </w:rPr>
        <w:t>de</w:t>
      </w:r>
      <w:r w:rsidRPr="00097C1F">
        <w:rPr>
          <w:lang w:eastAsia="en-US" w:bidi="en-US"/>
        </w:rPr>
        <w:t xml:space="preserve"> </w:t>
      </w:r>
      <w:r w:rsidRPr="00097C1F">
        <w:rPr>
          <w:lang w:val="en-US" w:eastAsia="en-US" w:bidi="en-US"/>
        </w:rPr>
        <w:t>Henares</w:t>
      </w:r>
      <w:r w:rsidRPr="00097C1F">
        <w:rPr>
          <w:lang w:eastAsia="en-US" w:bidi="en-US"/>
        </w:rPr>
        <w:t xml:space="preserve"> </w:t>
      </w:r>
      <w:r w:rsidRPr="00097C1F">
        <w:t xml:space="preserve">19200 </w:t>
      </w:r>
      <w:r w:rsidRPr="00097C1F">
        <w:rPr>
          <w:lang w:eastAsia="en-US" w:bidi="en-US"/>
        </w:rPr>
        <w:t>(</w:t>
      </w:r>
      <w:r w:rsidRPr="00097C1F">
        <w:rPr>
          <w:lang w:val="en-US" w:eastAsia="en-US" w:bidi="en-US"/>
        </w:rPr>
        <w:t>Guadalajara</w:t>
      </w:r>
      <w:r w:rsidRPr="00097C1F">
        <w:rPr>
          <w:lang w:eastAsia="en-US" w:bidi="en-US"/>
        </w:rPr>
        <w:t xml:space="preserve">) </w:t>
      </w:r>
      <w:r w:rsidRPr="00097C1F">
        <w:t xml:space="preserve">(Испания)/ </w:t>
      </w:r>
      <w:proofErr w:type="spellStart"/>
      <w:r w:rsidRPr="00097C1F">
        <w:t>Лабораториос</w:t>
      </w:r>
      <w:proofErr w:type="spellEnd"/>
      <w:r w:rsidRPr="00097C1F">
        <w:t xml:space="preserve"> </w:t>
      </w:r>
      <w:proofErr w:type="spellStart"/>
      <w:r w:rsidRPr="00097C1F">
        <w:t>Ликонса</w:t>
      </w:r>
      <w:proofErr w:type="spellEnd"/>
      <w:r w:rsidRPr="00097C1F">
        <w:t xml:space="preserve"> С.А., </w:t>
      </w:r>
      <w:proofErr w:type="spellStart"/>
      <w:r w:rsidRPr="00097C1F">
        <w:t>Авенида</w:t>
      </w:r>
      <w:proofErr w:type="spellEnd"/>
      <w:r w:rsidRPr="00097C1F">
        <w:t xml:space="preserve"> </w:t>
      </w:r>
      <w:proofErr w:type="spellStart"/>
      <w:r w:rsidRPr="00097C1F">
        <w:t>Миралькампо</w:t>
      </w:r>
      <w:proofErr w:type="spellEnd"/>
      <w:r w:rsidRPr="00097C1F">
        <w:t xml:space="preserve">, 7, Промышленная зона (полигон) </w:t>
      </w:r>
      <w:proofErr w:type="spellStart"/>
      <w:r w:rsidRPr="00097C1F">
        <w:t>Миралькампо</w:t>
      </w:r>
      <w:proofErr w:type="spellEnd"/>
      <w:r w:rsidRPr="00097C1F">
        <w:t xml:space="preserve"> </w:t>
      </w:r>
      <w:proofErr w:type="spellStart"/>
      <w:r w:rsidRPr="00097C1F">
        <w:t>Асукека</w:t>
      </w:r>
      <w:proofErr w:type="spellEnd"/>
      <w:r w:rsidRPr="00097C1F">
        <w:t>-де-</w:t>
      </w:r>
      <w:proofErr w:type="spellStart"/>
      <w:r w:rsidRPr="00097C1F">
        <w:t>Энарес</w:t>
      </w:r>
      <w:proofErr w:type="spellEnd"/>
      <w:r w:rsidRPr="00097C1F">
        <w:t xml:space="preserve"> 19200, Гвадалахара, Испания.</w:t>
      </w:r>
    </w:p>
    <w:p w14:paraId="322035FD" w14:textId="77777777" w:rsidR="0080235D" w:rsidRDefault="00AA4779">
      <w:pPr>
        <w:pStyle w:val="a0"/>
        <w:shd w:val="clear" w:color="auto" w:fill="auto"/>
        <w:jc w:val="both"/>
      </w:pPr>
      <w:r>
        <w:rPr>
          <w:b/>
          <w:bCs/>
        </w:rPr>
        <w:t xml:space="preserve">Произведено для: </w:t>
      </w:r>
      <w:r>
        <w:t>«</w:t>
      </w:r>
      <w:proofErr w:type="spellStart"/>
      <w:r>
        <w:t>Эксэлтис</w:t>
      </w:r>
      <w:proofErr w:type="spellEnd"/>
      <w:r>
        <w:t xml:space="preserve"> </w:t>
      </w:r>
      <w:proofErr w:type="spellStart"/>
      <w:r>
        <w:t>Хелскеа</w:t>
      </w:r>
      <w:proofErr w:type="spellEnd"/>
      <w:r>
        <w:t xml:space="preserve"> С.Л.», </w:t>
      </w:r>
      <w:proofErr w:type="spellStart"/>
      <w:r>
        <w:t>Кайе</w:t>
      </w:r>
      <w:proofErr w:type="spellEnd"/>
      <w:r>
        <w:t xml:space="preserve"> </w:t>
      </w:r>
      <w:proofErr w:type="spellStart"/>
      <w:r>
        <w:t>Квинтанапайя</w:t>
      </w:r>
      <w:proofErr w:type="spellEnd"/>
      <w:r>
        <w:t xml:space="preserve"> 2, 4 этаж, 28050 Мадрид, Испания.</w:t>
      </w:r>
    </w:p>
    <w:p w14:paraId="18C3E97A" w14:textId="77777777" w:rsidR="0080235D" w:rsidRDefault="00AA4779" w:rsidP="00097C1F">
      <w:pPr>
        <w:pStyle w:val="a0"/>
        <w:shd w:val="clear" w:color="auto" w:fill="auto"/>
        <w:spacing w:after="120" w:line="240" w:lineRule="auto"/>
        <w:jc w:val="both"/>
      </w:pPr>
      <w:r>
        <w:rPr>
          <w:b/>
          <w:bCs/>
        </w:rPr>
        <w:t xml:space="preserve">Импортеры: </w:t>
      </w:r>
      <w:r>
        <w:t xml:space="preserve">ООО «БСС», 197375, Россия, г. Санкт-Петербург, ул. Маршала Новикова, д.28, корп.2, литер А; </w:t>
      </w:r>
      <w:r>
        <w:t>ЗАО фирма ЦВ «Протек», 115201, Россия, г. Москва, Каширское ш., д.22, корп.4; АО НПК «Катрен», 630117, Россия, г. Новосибирск, ул. Тимакова, д.4.</w:t>
      </w:r>
    </w:p>
    <w:p w14:paraId="45F08208" w14:textId="77777777" w:rsidR="00097C1F" w:rsidRDefault="00AA4779">
      <w:pPr>
        <w:pStyle w:val="a0"/>
        <w:shd w:val="clear" w:color="auto" w:fill="auto"/>
        <w:jc w:val="both"/>
      </w:pPr>
      <w:r>
        <w:rPr>
          <w:b/>
          <w:bCs/>
        </w:rPr>
        <w:t xml:space="preserve">Условия реализации: </w:t>
      </w:r>
      <w:r>
        <w:t xml:space="preserve">через аптечную сеть и специализированные отделы торговой сети </w:t>
      </w:r>
    </w:p>
    <w:p w14:paraId="2EE0BA7F" w14:textId="3BF1CA73" w:rsidR="0080235D" w:rsidRDefault="00AA4779" w:rsidP="00097C1F">
      <w:pPr>
        <w:pStyle w:val="a0"/>
        <w:shd w:val="clear" w:color="auto" w:fill="auto"/>
        <w:spacing w:after="120" w:line="240" w:lineRule="auto"/>
        <w:jc w:val="both"/>
      </w:pPr>
      <w:bookmarkStart w:id="0" w:name="_GoBack"/>
      <w:r>
        <w:rPr>
          <w:b/>
          <w:bCs/>
        </w:rPr>
        <w:t xml:space="preserve">Организация, уполномоченная </w:t>
      </w:r>
      <w:r>
        <w:rPr>
          <w:b/>
          <w:bCs/>
        </w:rPr>
        <w:t>принимать претензии от потребителей:</w:t>
      </w:r>
    </w:p>
    <w:bookmarkEnd w:id="0"/>
    <w:p w14:paraId="7E5F776B" w14:textId="1B4BBF40" w:rsidR="0080235D" w:rsidRDefault="00097C1F" w:rsidP="00097C1F">
      <w:pPr>
        <w:pStyle w:val="a0"/>
        <w:shd w:val="clear" w:color="auto" w:fill="auto"/>
        <w:spacing w:after="120" w:line="240" w:lineRule="auto"/>
        <w:jc w:val="both"/>
      </w:pPr>
      <w:r>
        <w:t xml:space="preserve">Московское </w:t>
      </w:r>
      <w:r w:rsidR="00AA4779">
        <w:t xml:space="preserve">Представительство </w:t>
      </w:r>
      <w:r>
        <w:t xml:space="preserve">компании с ограниченной ответственностью </w:t>
      </w:r>
      <w:r w:rsidR="00AA4779">
        <w:t>«</w:t>
      </w:r>
      <w:proofErr w:type="spellStart"/>
      <w:r w:rsidR="00AA4779">
        <w:t>Эксэлтис</w:t>
      </w:r>
      <w:proofErr w:type="spellEnd"/>
      <w:r w:rsidR="00AA4779">
        <w:t xml:space="preserve"> </w:t>
      </w:r>
      <w:proofErr w:type="spellStart"/>
      <w:r w:rsidR="00AA4779">
        <w:t>Хелскеа</w:t>
      </w:r>
      <w:proofErr w:type="spellEnd"/>
      <w:r w:rsidR="00AA4779">
        <w:t xml:space="preserve"> С.Л.», 119435, г. Москва, </w:t>
      </w:r>
      <w:r>
        <w:t>ул. Малая Пироговская, д.16, офис 61, тел./факс (495) 648 3947</w:t>
      </w:r>
    </w:p>
    <w:p w14:paraId="2F75498B" w14:textId="77777777" w:rsidR="0080235D" w:rsidRDefault="00AA4779">
      <w:pPr>
        <w:pStyle w:val="a0"/>
        <w:shd w:val="clear" w:color="auto" w:fill="auto"/>
        <w:spacing w:line="37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в соответствии с письмом Федеральной службы по надзору в сфере защиты прав потребителей и </w:t>
      </w:r>
      <w:r>
        <w:rPr>
          <w:sz w:val="20"/>
          <w:szCs w:val="20"/>
        </w:rPr>
        <w:t>благополучия человека № 0100/10917-07-32 от 26.10.2007 г. «Об усилении надзора за БАД к пище»</w:t>
      </w:r>
    </w:p>
    <w:sectPr w:rsidR="0080235D" w:rsidSect="00097C1F">
      <w:pgSz w:w="11900" w:h="16840"/>
      <w:pgMar w:top="851" w:right="809" w:bottom="851" w:left="939" w:header="988" w:footer="8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E602" w14:textId="77777777" w:rsidR="00AA4779" w:rsidRDefault="00AA4779">
      <w:r>
        <w:separator/>
      </w:r>
    </w:p>
  </w:endnote>
  <w:endnote w:type="continuationSeparator" w:id="0">
    <w:p w14:paraId="3FEC212A" w14:textId="77777777" w:rsidR="00AA4779" w:rsidRDefault="00AA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06BAC" w14:textId="77777777" w:rsidR="00AA4779" w:rsidRDefault="00AA4779"/>
  </w:footnote>
  <w:footnote w:type="continuationSeparator" w:id="0">
    <w:p w14:paraId="28F85429" w14:textId="77777777" w:rsidR="00AA4779" w:rsidRDefault="00AA47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E23B3"/>
    <w:multiLevelType w:val="multilevel"/>
    <w:tmpl w:val="74CC2C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5D"/>
    <w:rsid w:val="00097C1F"/>
    <w:rsid w:val="005573F2"/>
    <w:rsid w:val="0080235D"/>
    <w:rsid w:val="00AA4779"/>
    <w:rsid w:val="00E1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5343"/>
  <w15:docId w15:val="{1806D3B0-943A-4AE4-906A-F845EE37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Подпись к таблице_"/>
    <w:basedOn w:val="DefaultParagraphFont"/>
    <w:link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Другое_"/>
    <w:basedOn w:val="DefaultParagraphFon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0">
    <w:name w:val="Основной текст"/>
    <w:basedOn w:val="Normal"/>
    <w:link w:val="a"/>
    <w:pPr>
      <w:shd w:val="clear" w:color="auto" w:fill="FFFFFF"/>
      <w:spacing w:line="37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Подпись к таблице"/>
    <w:basedOn w:val="Normal"/>
    <w:link w:val="a1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Другое"/>
    <w:basedOn w:val="Normal"/>
    <w:link w:val="a3"/>
    <w:pPr>
      <w:shd w:val="clear" w:color="auto" w:fill="FFFFFF"/>
      <w:spacing w:line="37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Bakhmatova</cp:lastModifiedBy>
  <cp:revision>2</cp:revision>
  <dcterms:created xsi:type="dcterms:W3CDTF">2019-12-24T16:41:00Z</dcterms:created>
  <dcterms:modified xsi:type="dcterms:W3CDTF">2019-12-24T17:02:00Z</dcterms:modified>
</cp:coreProperties>
</file>