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29DF" w14:textId="77777777" w:rsidR="00F867A8" w:rsidRDefault="00F867A8" w:rsidP="00F867A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B64298D" w14:textId="77777777" w:rsidR="00F867A8" w:rsidRDefault="00F867A8" w:rsidP="00F867A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ИНСТРУКЦИЯ</w:t>
      </w:r>
    </w:p>
    <w:p w14:paraId="2C9AE263" w14:textId="77777777" w:rsidR="00F867A8" w:rsidRDefault="00F867A8" w:rsidP="00F867A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применению лекарственного препарата для медицинского применения</w:t>
      </w:r>
    </w:p>
    <w:p w14:paraId="4CEBB37A" w14:textId="49BA8AB5" w:rsidR="00F867A8" w:rsidRPr="005D1EFE" w:rsidRDefault="00F867A8" w:rsidP="00F867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u w:val="single"/>
          <w:lang w:eastAsia="ru-RU"/>
        </w:rPr>
        <w:t>Нотт</w:t>
      </w:r>
      <w:r w:rsidRPr="005D1EFE">
        <w:rPr>
          <w:rFonts w:ascii="Helvetica" w:eastAsia="Times New Roman" w:hAnsi="Helvetica" w:cs="Helvetica"/>
          <w:b/>
          <w:bCs/>
          <w:color w:val="333333"/>
          <w:sz w:val="40"/>
          <w:szCs w:val="40"/>
          <w:u w:val="single"/>
          <w:lang w:eastAsia="ru-RU"/>
        </w:rPr>
        <w:t>а</w:t>
      </w:r>
      <w:proofErr w:type="spellEnd"/>
      <w:r w:rsidRPr="005D1EFE"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  <w:t>®</w:t>
      </w:r>
    </w:p>
    <w:p w14:paraId="09511C0D" w14:textId="1917E51C" w:rsidR="00F867A8" w:rsidRPr="00001474" w:rsidRDefault="00F867A8" w:rsidP="00F867A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 w:eastAsia="ru-RU"/>
        </w:rPr>
        <w:t>Nott</w:t>
      </w:r>
      <w:r w:rsidRPr="005D1EFE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 w:eastAsia="ru-RU"/>
        </w:rPr>
        <w:t>a</w:t>
      </w:r>
      <w:proofErr w:type="spellEnd"/>
      <w:r w:rsidRPr="005D1EF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®</w:t>
      </w:r>
    </w:p>
    <w:p w14:paraId="166E056B" w14:textId="77777777" w:rsidR="00F867A8" w:rsidRDefault="00F867A8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494343FA" w14:textId="77777777" w:rsidR="00F867A8" w:rsidRPr="00F867A8" w:rsidRDefault="00F867A8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4E721A71" w14:textId="1A3E2600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Регистрационный номер:</w:t>
      </w:r>
      <w:r w:rsidR="00F867A8"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 </w:t>
      </w:r>
      <w:r w:rsidR="00F867A8"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N</w:t>
      </w:r>
      <w:r w:rsidR="00F867A8"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012112/01</w:t>
      </w:r>
    </w:p>
    <w:p w14:paraId="0A6D40E3" w14:textId="24ECB859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Торговое название: </w:t>
      </w:r>
      <w:proofErr w:type="spellStart"/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Нотта</w:t>
      </w:r>
      <w:proofErr w:type="spellEnd"/>
      <w:r w:rsidR="00F867A8"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®</w:t>
      </w: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Notta</w:t>
      </w:r>
      <w:proofErr w:type="spellEnd"/>
      <w:r w:rsidR="00F867A8"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®</w:t>
      </w:r>
    </w:p>
    <w:p w14:paraId="1C5F0428" w14:textId="77777777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Лекарственная форма: 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капли для приема внутрь гомеопатические</w:t>
      </w:r>
    </w:p>
    <w:p w14:paraId="042F3525" w14:textId="051C2666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Состав 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(на 100 мл)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F867A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Активные компоненты: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Avena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sativa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Avena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(Авена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сатива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(Авена)) D1</w:t>
      </w:r>
      <w:r w:rsidR="00F867A8"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20 мл,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Phosphorus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Фосфорус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D12 10 мл,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Chamomilla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recutita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Chamomilla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Хамомилла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рекутита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Хамомилла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)) D12 10 мл,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Coffea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arabica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Coffea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Коффеа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арабика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Коффеа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)) D12 10 мл,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Zincum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valerianicum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Цинкум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валерианикум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Цинкум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)) D12 10 мл.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F867A8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Вспомогательные компоненты: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спирт этиловый (этанол) 43 % (по массе) 40 мл.</w:t>
      </w:r>
    </w:p>
    <w:p w14:paraId="22169247" w14:textId="77777777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Описание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Прозрачная, от бесцветного с желтоватым оттенком до зелено-желтоватого цвета жидкость без специфического запаха.</w:t>
      </w:r>
    </w:p>
    <w:p w14:paraId="46A7D299" w14:textId="4CCB447B" w:rsidR="00E0379A" w:rsidRPr="00F867A8" w:rsidRDefault="00E0379A" w:rsidP="00F867A8">
      <w:pPr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Фармакотерапевтическая группа:</w:t>
      </w:r>
      <w:r w:rsidR="00F867A8"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гомеопатическое лекарственное средство.</w:t>
      </w:r>
    </w:p>
    <w:p w14:paraId="2F4714DE" w14:textId="77777777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Фармакологическое действие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Многокомпонентный гомеопатический препарат, действие которого обусловлено активными компонентами, входящими в его состав.</w:t>
      </w:r>
    </w:p>
    <w:p w14:paraId="54F867F5" w14:textId="77777777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Фармакологические свойства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Транквилизирующее, способствует переносимости психо-эмоциональных нагрузок, нормализует физиологический ритм сна.</w:t>
      </w:r>
    </w:p>
    <w:p w14:paraId="58B8FDA4" w14:textId="6CDA2218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Показания к применению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Тревога (страх),</w:t>
      </w:r>
      <w:r w:rsidR="00F867A8"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вегетативная лабильность (потливость, сер</w:t>
      </w:r>
      <w:r w:rsid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цебиение и </w:t>
      </w:r>
      <w:proofErr w:type="gram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т.д.</w:t>
      </w:r>
      <w:proofErr w:type="gram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повышенная раздражительность, утомляемость, психическое напряжение, нарушение сна, лабильность настроения при невротических и психосоматических расстройствах (за исключением эндогенной и грубой органической патологии). Расстройство внимания, неусидчивость, повышенная возбудимость (с астенией или без), повышенная утомляемость у детей старше 3-х лет.</w:t>
      </w:r>
    </w:p>
    <w:p w14:paraId="4BE75C09" w14:textId="77777777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Противопоказания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Повышенная чувствительность к компонентам препарата.</w:t>
      </w:r>
    </w:p>
    <w:p w14:paraId="05C2AED9" w14:textId="77777777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 осторожностью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 заболеваниях печени, алкоголизме, черепно-мозговой травме, заболеваниях головного мозга, беременности, в период грудного вскармливания, у детей до 3-х лет.</w:t>
      </w:r>
    </w:p>
    <w:p w14:paraId="18BA6BB0" w14:textId="77777777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Применение при беременности и в период лактации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Клинических данных о применении препарата при беременности и в период лактации 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недостаточно, перед приемом препарата необходимо проконсультироваться с лечащим врачом.</w:t>
      </w:r>
    </w:p>
    <w:p w14:paraId="42C202E6" w14:textId="77777777" w:rsidR="00E0379A" w:rsidRPr="00F867A8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Передозировка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Случаи передозировки до настоящего времени не были зарегистрированы.</w:t>
      </w:r>
    </w:p>
    <w:p w14:paraId="23AD240C" w14:textId="3D0A3517" w:rsidR="00E0379A" w:rsidRPr="00926662" w:rsidRDefault="00E0379A" w:rsidP="00926662">
      <w:pPr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7A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Способ применения и дозы: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Для обеспечения наибольшей эффективности 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Нотту</w:t>
      </w:r>
      <w:proofErr w:type="spellEnd"/>
      <w:r w:rsidR="00F867A8"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®</w:t>
      </w:r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proofErr w:type="spellStart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Notta</w:t>
      </w:r>
      <w:proofErr w:type="spellEnd"/>
      <w:r w:rsidRPr="00F86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®) следует принимать за 30 минут до или через 1 час после приема пищи.</w:t>
      </w:r>
    </w:p>
    <w:tbl>
      <w:tblPr>
        <w:tblW w:w="98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250"/>
        <w:gridCol w:w="3331"/>
        <w:gridCol w:w="3669"/>
      </w:tblGrid>
      <w:tr w:rsidR="00E0379A" w:rsidRPr="00E0379A" w14:paraId="5E206142" w14:textId="77777777" w:rsidTr="00F867A8"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CB447" w14:textId="075AF612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CF26A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Доза</w:t>
            </w:r>
            <w:r w:rsidRP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CB88D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приема и длительность курса</w:t>
            </w:r>
          </w:p>
        </w:tc>
        <w:tc>
          <w:tcPr>
            <w:tcW w:w="3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0F693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применения</w:t>
            </w:r>
          </w:p>
        </w:tc>
      </w:tr>
      <w:tr w:rsidR="00E0379A" w:rsidRPr="00E0379A" w14:paraId="55C79F4C" w14:textId="77777777" w:rsidTr="00F867A8"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0048F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3 до 12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A4CA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капель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D8DC2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день. Курс лечения – 1-4 месяца, если состояние обусловлено психотравмирующей ситуацией – курс лечения 1-4 недели.</w:t>
            </w:r>
          </w:p>
        </w:tc>
        <w:tc>
          <w:tcPr>
            <w:tcW w:w="366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4240C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 в чистом виде или развести в столовой ложке воды за 30 минут до или через 1 час после еды, подержав некоторое время во рту перед проглатыванием.</w:t>
            </w:r>
          </w:p>
        </w:tc>
      </w:tr>
      <w:tr w:rsidR="00E0379A" w:rsidRPr="00E0379A" w14:paraId="6E42F6CE" w14:textId="77777777" w:rsidTr="00F867A8"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716A0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  <w:r w:rsidRP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подростки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BE72B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903DCE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9FD1DD" w14:textId="77777777" w:rsidR="00E0379A" w:rsidRPr="00E0379A" w:rsidRDefault="00E0379A" w:rsidP="00E0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032FC7" w14:textId="77777777" w:rsidR="00E0379A" w:rsidRPr="00E0379A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начале заболевания, а также в случаях, требующих быстрого ослабления симптомов, возможен прием каждые полчаса – час: детям от 3 до 12 лет – по 3-5 капель, взрослым и подросткам – по 8-10 капель, до наступления улучшения состояния, но не более 8 раз в день,</w:t>
      </w: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после чего принимать 3 раза в день.</w:t>
      </w:r>
    </w:p>
    <w:p w14:paraId="074CB159" w14:textId="77777777" w:rsidR="00E0379A" w:rsidRPr="00E0379A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Побочное действие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зарегистрировано. При возникновении любых побочных эффектов следует обратиться к врачу.</w:t>
      </w:r>
    </w:p>
    <w:p w14:paraId="243C64D2" w14:textId="77777777" w:rsidR="00E0379A" w:rsidRPr="00E0379A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Взаимодействие с другими лекарственными препаратами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Применение гомеопатических препаратов не исключает лечение другими лекарственными средствами.</w:t>
      </w:r>
    </w:p>
    <w:p w14:paraId="3BF49CB0" w14:textId="77777777" w:rsidR="00E0379A" w:rsidRPr="00E0379A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Особые указания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Поскольку препарат содержит растительные природные компоненты, при хранении может наблюдаться незначительное помутнение и ослабление запаха и вкуса, что не приводит к снижению эффективности препарата.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состав препарата входит этиловый спирт (этанол) 43% по массе. В максимальной разовой дозе препарата содержится 0,16 г этилового спирта (этанола), в максимальной суточной дозе препарата – 1,28 г этилового спирта (этанола).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Клинических данных по применению препарата у детей до 3-х лет недостаточно, при необходимости применения препарата проконсультируйтесь с лечащим врачом.</w:t>
      </w:r>
    </w:p>
    <w:p w14:paraId="322BE1F5" w14:textId="77777777" w:rsidR="00E0379A" w:rsidRPr="00E0379A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Влияние на способность управлять механизмами и автомобилем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период применения препарата следует соблюдать осторожность при выполнении потенциально опасных видов деятельности, требующих повышенного внимания и быстрых психомоторных реакций (управление автомобилем и другими транспортными средствами, работа с движущимися механизмами, работа диспетчера и оператора и т.п.).</w:t>
      </w:r>
    </w:p>
    <w:p w14:paraId="58883B8F" w14:textId="77777777" w:rsidR="00E0379A" w:rsidRPr="00E0379A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 выпуска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Капли для приема внутрь гомеопатические.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20 мл, 50 мл или 100 мл препарата во флаконы из коричневого стекла (тип III в соответствии с Евр. Ф) с навинчивающейся крышкой из пропилена, с контролем первого вскрытия; с капельницей из полиэтилена. По 1 флакону вместе с инструкцией по применению помещают в картонную пачку.</w:t>
      </w:r>
    </w:p>
    <w:p w14:paraId="7D61C8B1" w14:textId="77777777" w:rsidR="00E0379A" w:rsidRPr="00E0379A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Условия хранения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защищенном от света и сильных электромагнитных полей месте, при температуре не выше 25 °С.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Хранить в недоступном для детей месте.</w:t>
      </w:r>
    </w:p>
    <w:p w14:paraId="2B5D3626" w14:textId="77777777" w:rsidR="00E0379A" w:rsidRPr="00E0379A" w:rsidRDefault="00E0379A" w:rsidP="00E0379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Срок годности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 лет.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 применять по истечении срока годности, указанного на упаковке.</w:t>
      </w:r>
    </w:p>
    <w:p w14:paraId="5904BD3A" w14:textId="77777777" w:rsidR="00926662" w:rsidRPr="00E0379A" w:rsidRDefault="00926662" w:rsidP="00926662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379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Условия отпуска из аптек</w:t>
      </w:r>
      <w:r w:rsidRPr="00E0379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Без рецепта.</w:t>
      </w:r>
    </w:p>
    <w:p w14:paraId="33F4FD96" w14:textId="77777777" w:rsidR="00926662" w:rsidRDefault="00926662" w:rsidP="00926662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Наименование и адрес юридического лица, на имя которого выдано Регистрационное удостоверение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Альвоген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Мальта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Оперейшнз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(РОУ) Лтд.,</w:t>
      </w:r>
    </w:p>
    <w:p w14:paraId="58B138D6" w14:textId="77777777" w:rsidR="00926662" w:rsidRPr="005D1EFE" w:rsidRDefault="00926662" w:rsidP="00926662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Мальта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Лайф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Сайенсез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парк, стр. 1, уровень 4, Сан-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Гванн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Индастриал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Истейт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, Сэр Теми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Заммит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Билдингс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>, Сан-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Гванн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lang w:val="en-US" w:eastAsia="ru-RU"/>
        </w:rPr>
        <w:t>SGN</w:t>
      </w:r>
      <w:r w:rsidRPr="00700D5D">
        <w:rPr>
          <w:rFonts w:ascii="Helvetica" w:eastAsia="Times New Roman" w:hAnsi="Helvetica" w:cs="Helvetica"/>
          <w:color w:val="333333"/>
          <w:lang w:eastAsia="ru-RU"/>
        </w:rPr>
        <w:t xml:space="preserve"> 3000</w:t>
      </w:r>
      <w:r>
        <w:rPr>
          <w:rFonts w:ascii="Helvetica" w:eastAsia="Times New Roman" w:hAnsi="Helvetica" w:cs="Helvetica"/>
          <w:color w:val="333333"/>
          <w:lang w:eastAsia="ru-RU"/>
        </w:rPr>
        <w:t>, Мальта</w:t>
      </w:r>
    </w:p>
    <w:p w14:paraId="21DE3F50" w14:textId="77777777" w:rsidR="00926662" w:rsidRPr="005D1EFE" w:rsidRDefault="00926662" w:rsidP="00926662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Производитель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Рихард Биттнер АГ</w:t>
      </w:r>
      <w:r>
        <w:rPr>
          <w:rFonts w:ascii="Helvetica" w:eastAsia="Times New Roman" w:hAnsi="Helvetica" w:cs="Helvetica"/>
          <w:color w:val="333333"/>
          <w:lang w:eastAsia="ru-RU"/>
        </w:rPr>
        <w:t>,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 w:rsidRPr="005D1EFE">
        <w:rPr>
          <w:rFonts w:ascii="Helvetica" w:eastAsia="Times New Roman" w:hAnsi="Helvetica" w:cs="Helvetica"/>
          <w:color w:val="333333"/>
          <w:lang w:eastAsia="ru-RU"/>
        </w:rPr>
        <w:t>Оссиахерштрассе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 7, А-9560 </w:t>
      </w:r>
      <w:proofErr w:type="spellStart"/>
      <w:r w:rsidRPr="005D1EFE">
        <w:rPr>
          <w:rFonts w:ascii="Helvetica" w:eastAsia="Times New Roman" w:hAnsi="Helvetica" w:cs="Helvetica"/>
          <w:color w:val="333333"/>
          <w:lang w:eastAsia="ru-RU"/>
        </w:rPr>
        <w:t>Фельдкирхен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>, Австрия</w:t>
      </w:r>
    </w:p>
    <w:p w14:paraId="662FA42C" w14:textId="6F4A7A4F" w:rsidR="00926662" w:rsidRDefault="00926662" w:rsidP="00926662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Организация, принимающая претензии потребителей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ООО «</w:t>
      </w:r>
      <w:r>
        <w:rPr>
          <w:rFonts w:ascii="Helvetica" w:eastAsia="Times New Roman" w:hAnsi="Helvetica" w:cs="Helvetica"/>
          <w:color w:val="333333"/>
          <w:lang w:eastAsia="ru-RU"/>
        </w:rPr>
        <w:t>АЛВОГЕН ФАРМА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»</w:t>
      </w:r>
      <w:r>
        <w:rPr>
          <w:rFonts w:ascii="Helvetica" w:eastAsia="Times New Roman" w:hAnsi="Helvetica" w:cs="Helvetica"/>
          <w:color w:val="333333"/>
          <w:lang w:eastAsia="ru-RU"/>
        </w:rPr>
        <w:t>, Россия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12</w:t>
      </w:r>
      <w:r>
        <w:rPr>
          <w:rFonts w:ascii="Helvetica" w:eastAsia="Times New Roman" w:hAnsi="Helvetica" w:cs="Helvetica"/>
          <w:color w:val="333333"/>
          <w:lang w:eastAsia="ru-RU"/>
        </w:rPr>
        <w:t>7055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,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г.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bookmarkStart w:id="0" w:name="_GoBack"/>
      <w:bookmarkEnd w:id="0"/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Москва, ул. </w:t>
      </w:r>
      <w:r>
        <w:rPr>
          <w:rFonts w:ascii="Helvetica" w:eastAsia="Times New Roman" w:hAnsi="Helvetica" w:cs="Helvetica"/>
          <w:color w:val="333333"/>
          <w:lang w:eastAsia="ru-RU"/>
        </w:rPr>
        <w:t>Новослободская, д.31, строение 4</w:t>
      </w:r>
    </w:p>
    <w:p w14:paraId="4CBA0A18" w14:textId="77777777" w:rsidR="00926662" w:rsidRPr="005D1EFE" w:rsidRDefault="00926662" w:rsidP="00926662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Тел.+7(499)940-01-77, факс +7(499)940-01-55</w:t>
      </w:r>
    </w:p>
    <w:p w14:paraId="182219F5" w14:textId="77777777" w:rsidR="00926662" w:rsidRPr="00926662" w:rsidRDefault="00926662" w:rsidP="00926662">
      <w:r>
        <w:rPr>
          <w:lang w:val="en-US"/>
        </w:rPr>
        <w:t>www</w:t>
      </w:r>
      <w:r w:rsidRPr="00926662">
        <w:t>.</w:t>
      </w:r>
      <w:r>
        <w:rPr>
          <w:lang w:val="en-US"/>
        </w:rPr>
        <w:t>alvogen</w:t>
      </w:r>
      <w:r w:rsidRPr="00926662">
        <w:t>.</w:t>
      </w:r>
      <w:r>
        <w:rPr>
          <w:lang w:val="en-US"/>
        </w:rPr>
        <w:t>ru</w:t>
      </w:r>
    </w:p>
    <w:p w14:paraId="5AD6BBF6" w14:textId="77777777" w:rsidR="00391B38" w:rsidRDefault="00391B38"/>
    <w:sectPr w:rsidR="00391B38" w:rsidSect="00F867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09"/>
    <w:rsid w:val="00391B38"/>
    <w:rsid w:val="00926662"/>
    <w:rsid w:val="00AE4CB1"/>
    <w:rsid w:val="00E0379A"/>
    <w:rsid w:val="00F43D09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3E5F"/>
  <w15:chartTrackingRefBased/>
  <w15:docId w15:val="{EF6E4603-F944-4ED6-8BD6-69C6087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3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3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0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0379A"/>
    <w:rPr>
      <w:b/>
      <w:bCs/>
    </w:rPr>
  </w:style>
  <w:style w:type="character" w:styleId="Emphasis">
    <w:name w:val="Emphasis"/>
    <w:basedOn w:val="DefaultParagraphFont"/>
    <w:uiPriority w:val="20"/>
    <w:qFormat/>
    <w:rsid w:val="00E03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Bakhmatova</dc:creator>
  <cp:keywords/>
  <dc:description/>
  <cp:lastModifiedBy>Laura Bakhmatova</cp:lastModifiedBy>
  <cp:revision>4</cp:revision>
  <dcterms:created xsi:type="dcterms:W3CDTF">2019-12-24T13:10:00Z</dcterms:created>
  <dcterms:modified xsi:type="dcterms:W3CDTF">2019-12-24T15:03:00Z</dcterms:modified>
</cp:coreProperties>
</file>