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84A0" w14:textId="77777777" w:rsidR="00EB267D" w:rsidRDefault="00EB267D" w:rsidP="00EB267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bookmarkStart w:id="0" w:name="_Hlk28186407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C7EC891" w14:textId="77777777" w:rsidR="00EB267D" w:rsidRDefault="00EB267D" w:rsidP="00EB267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ИНСТРУКЦИЯ</w:t>
      </w:r>
    </w:p>
    <w:p w14:paraId="16E11F5F" w14:textId="77777777" w:rsidR="00EB267D" w:rsidRDefault="00EB267D" w:rsidP="00EB267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применению лекарственного препарата для медицинского применения</w:t>
      </w:r>
    </w:p>
    <w:p w14:paraId="557D37EF" w14:textId="77777777" w:rsidR="00EB267D" w:rsidRPr="005D1EFE" w:rsidRDefault="00EB267D" w:rsidP="00EB26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u w:val="single"/>
          <w:lang w:eastAsia="ru-RU"/>
        </w:rPr>
        <w:t>Гентос</w:t>
      </w:r>
      <w:proofErr w:type="spellEnd"/>
      <w:r w:rsidRPr="005D1EFE">
        <w:rPr>
          <w:rFonts w:ascii="Helvetica" w:eastAsia="Times New Roman" w:hAnsi="Helvetica" w:cs="Helvetica"/>
          <w:color w:val="333333"/>
          <w:sz w:val="40"/>
          <w:szCs w:val="40"/>
          <w:u w:val="single"/>
          <w:lang w:eastAsia="ru-RU"/>
        </w:rPr>
        <w:t>®</w:t>
      </w:r>
    </w:p>
    <w:p w14:paraId="3FD79D0C" w14:textId="77777777" w:rsidR="00EB267D" w:rsidRPr="00F57581" w:rsidRDefault="00EB267D" w:rsidP="00EB26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ru-RU"/>
        </w:rPr>
        <w:t>Gentos</w:t>
      </w:r>
      <w:proofErr w:type="spellEnd"/>
      <w:r w:rsidRPr="00535A3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®</w:t>
      </w:r>
      <w:bookmarkEnd w:id="0"/>
    </w:p>
    <w:p w14:paraId="7B2432B7" w14:textId="77777777" w:rsidR="00EB267D" w:rsidRDefault="00EB267D" w:rsidP="00C57D69">
      <w:pPr>
        <w:spacing w:before="150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</w:p>
    <w:p w14:paraId="606FC26A" w14:textId="77777777" w:rsidR="00D00A28" w:rsidRDefault="00C57D69" w:rsidP="00D00A28">
      <w:pPr>
        <w:spacing w:after="150" w:line="240" w:lineRule="auto"/>
        <w:outlineLvl w:val="2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Регистрационный номер:</w:t>
      </w:r>
      <w:r w:rsidR="00EB267D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="00EB267D" w:rsidRPr="00EB267D">
        <w:rPr>
          <w:rFonts w:ascii="Helvetica" w:eastAsia="Times New Roman" w:hAnsi="Helvetica" w:cs="Helvetica"/>
          <w:color w:val="333333"/>
          <w:lang w:eastAsia="ru-RU"/>
        </w:rPr>
        <w:t>П №013114/01</w:t>
      </w:r>
    </w:p>
    <w:p w14:paraId="60892A74" w14:textId="3A824C27" w:rsidR="00C57D69" w:rsidRPr="00EB267D" w:rsidRDefault="00C57D69" w:rsidP="00D00A28">
      <w:pPr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EB267D">
        <w:rPr>
          <w:rFonts w:ascii="Helvetica" w:eastAsia="Times New Roman" w:hAnsi="Helvetica" w:cs="Helvetica"/>
          <w:b/>
          <w:bCs/>
          <w:color w:val="333333"/>
          <w:shd w:val="clear" w:color="auto" w:fill="FFFFFF"/>
          <w:lang w:eastAsia="ru-RU"/>
        </w:rPr>
        <w:t>Торговое название препарата:</w:t>
      </w: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proofErr w:type="spellStart"/>
      <w:r w:rsidRPr="004D2B2F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Гентос</w:t>
      </w:r>
      <w:proofErr w:type="spellEnd"/>
      <w:r w:rsidRPr="004D2B2F">
        <w:rPr>
          <w:rFonts w:ascii="Helvetica" w:eastAsia="Times New Roman" w:hAnsi="Helvetica" w:cs="Helvetica"/>
          <w:color w:val="333333"/>
          <w:vertAlign w:val="superscript"/>
          <w:lang w:eastAsia="ru-RU"/>
        </w:rPr>
        <w:t>®</w:t>
      </w:r>
      <w:r w:rsidRPr="004D2B2F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 xml:space="preserve"> / </w:t>
      </w:r>
      <w:proofErr w:type="spellStart"/>
      <w:r w:rsidRPr="004D2B2F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Gentos</w:t>
      </w:r>
      <w:proofErr w:type="spellEnd"/>
      <w:r w:rsidRPr="004D2B2F">
        <w:rPr>
          <w:rFonts w:ascii="Helvetica" w:eastAsia="Times New Roman" w:hAnsi="Helvetica" w:cs="Helvetica"/>
          <w:color w:val="333333"/>
          <w:vertAlign w:val="superscript"/>
          <w:lang w:eastAsia="ru-RU"/>
        </w:rPr>
        <w:t>®</w:t>
      </w:r>
    </w:p>
    <w:p w14:paraId="433F6EA1" w14:textId="33B0405F" w:rsidR="00C57D69" w:rsidRPr="00D00A28" w:rsidRDefault="00C57D69" w:rsidP="00D00A28">
      <w:pPr>
        <w:spacing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Лекарственная форма:</w:t>
      </w:r>
      <w:r w:rsidR="00EB267D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r w:rsidRPr="004D2B2F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капли гомеопатические</w:t>
      </w:r>
    </w:p>
    <w:p w14:paraId="7383E10A" w14:textId="6C47FE5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Состав 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t>(на 100 мл)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</w:r>
      <w:r w:rsidRPr="00D00A28">
        <w:rPr>
          <w:rFonts w:ascii="Helvetica" w:eastAsia="Times New Roman" w:hAnsi="Helvetica" w:cs="Helvetica"/>
          <w:i/>
          <w:iCs/>
          <w:color w:val="333333"/>
          <w:lang w:eastAsia="ru-RU"/>
        </w:rPr>
        <w:t>активные компоненты:</w:t>
      </w:r>
      <w:r w:rsidR="00D00A28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Populus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tremuloides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Populus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популюс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тремулоидес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популюс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)) D1 7 мл,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Sabal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serrulatum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Sabal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сабал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серрулатум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сабал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)) D6 10 мл,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Conium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maculatum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Conium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>)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кониум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макулятум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кониум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)) D6 10 мл,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Kalium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iodatum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калиум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иодатум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) D12 10 мл,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Ferrum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picrinicum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феррум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D00A28">
        <w:rPr>
          <w:rFonts w:ascii="Helvetica" w:eastAsia="Times New Roman" w:hAnsi="Helvetica" w:cs="Helvetica"/>
          <w:color w:val="333333"/>
          <w:lang w:eastAsia="ru-RU"/>
        </w:rPr>
        <w:t>пикриникум</w:t>
      </w:r>
      <w:proofErr w:type="spellEnd"/>
      <w:r w:rsidRPr="00D00A28">
        <w:rPr>
          <w:rFonts w:ascii="Helvetica" w:eastAsia="Times New Roman" w:hAnsi="Helvetica" w:cs="Helvetica"/>
          <w:color w:val="333333"/>
          <w:lang w:eastAsia="ru-RU"/>
        </w:rPr>
        <w:t>) D12 10 мл;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</w:r>
      <w:r w:rsidRPr="00D00A28">
        <w:rPr>
          <w:rFonts w:ascii="Helvetica" w:eastAsia="Times New Roman" w:hAnsi="Helvetica" w:cs="Helvetica"/>
          <w:i/>
          <w:iCs/>
          <w:color w:val="333333"/>
          <w:lang w:eastAsia="ru-RU"/>
        </w:rPr>
        <w:t>вспомогательные компоненты:</w:t>
      </w:r>
      <w:r w:rsidRPr="00D00A28">
        <w:rPr>
          <w:rFonts w:ascii="Helvetica" w:eastAsia="Times New Roman" w:hAnsi="Helvetica" w:cs="Helvetica"/>
          <w:color w:val="333333"/>
          <w:lang w:eastAsia="ru-RU"/>
        </w:rPr>
        <w:t> 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t>спирт этиловый (этанол) 43 % (по массе) 53 мл.</w:t>
      </w:r>
    </w:p>
    <w:p w14:paraId="255D3292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Описание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Прозрачная от светло-желтого до коричневато-оранжевого цвета жидкость со слабым специфическим запахом.</w:t>
      </w:r>
    </w:p>
    <w:p w14:paraId="0369E149" w14:textId="77777777" w:rsidR="00C57D69" w:rsidRPr="004D2B2F" w:rsidRDefault="00C57D69" w:rsidP="00D00A28">
      <w:pPr>
        <w:spacing w:before="150"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Фармакотерапевтическая группа:</w:t>
      </w:r>
    </w:p>
    <w:p w14:paraId="2D9E83C9" w14:textId="0BA24BF0" w:rsidR="00C57D69" w:rsidRPr="00D00A28" w:rsidRDefault="00C57D69" w:rsidP="00D00A28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D2B2F">
        <w:rPr>
          <w:rFonts w:ascii="Helvetica" w:eastAsia="Times New Roman" w:hAnsi="Helvetica" w:cs="Helvetica"/>
          <w:color w:val="333333"/>
          <w:shd w:val="clear" w:color="auto" w:fill="FFFFFF"/>
          <w:lang w:eastAsia="ru-RU"/>
        </w:rPr>
        <w:t>гомеопатическое лекарственное средство.</w:t>
      </w:r>
    </w:p>
    <w:p w14:paraId="35327243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Фармакологическое действие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Комплексный гомеопатический препарат, действие которого обусловлено входящими в его состав компонентами.</w:t>
      </w:r>
    </w:p>
    <w:p w14:paraId="6B564FAD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Показания к применению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Применяется</w:t>
      </w: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t>в комплексном лечении острых и хронических заболеваний предстательной железы (доброкачественная гиперплазия предстательной железы, простатит) для ослабления симптомов указанных заболеваний, при лечении заболеваний мочевого пузыря (цистит, атония мочевого пузыря).</w:t>
      </w:r>
    </w:p>
    <w:p w14:paraId="693B89CB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Противопоказания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Повышенная чувствительность к компонентам препарата, детский возраст до 12 лет (из-за недостаточности клинических данных). Заболевания печени, беременность, период грудного вскармливания.</w:t>
      </w:r>
    </w:p>
    <w:p w14:paraId="2C222AF5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С осторожностью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При алкоголизме, черепно-мозговой травме, заболеваниях головного мозга, детском возрасте (старше 12 лет).</w:t>
      </w:r>
    </w:p>
    <w:p w14:paraId="35D6B64C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Способ применения и дозы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 xml:space="preserve">Для обеспечения наибольшей эффективности </w:t>
      </w:r>
      <w:proofErr w:type="spellStart"/>
      <w:r w:rsidRPr="004D2B2F">
        <w:rPr>
          <w:rFonts w:ascii="Helvetica" w:eastAsia="Times New Roman" w:hAnsi="Helvetica" w:cs="Helvetica"/>
          <w:color w:val="333333"/>
          <w:lang w:eastAsia="ru-RU"/>
        </w:rPr>
        <w:t>Гентос</w:t>
      </w:r>
      <w:proofErr w:type="spellEnd"/>
      <w:r w:rsidRPr="004D2B2F">
        <w:rPr>
          <w:rFonts w:ascii="Helvetica" w:eastAsia="Times New Roman" w:hAnsi="Helvetica" w:cs="Helvetica"/>
          <w:color w:val="333333"/>
          <w:lang w:eastAsia="ru-RU"/>
        </w:rPr>
        <w:t>® следует принимать за 30 минут до или через 1 час после приема пищи.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02"/>
        <w:gridCol w:w="3689"/>
        <w:gridCol w:w="3119"/>
      </w:tblGrid>
      <w:tr w:rsidR="00C57D69" w:rsidRPr="00C57D69" w14:paraId="5EB2339E" w14:textId="77777777" w:rsidTr="004D2B2F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C4B6B" w14:textId="77777777" w:rsidR="00C57D69" w:rsidRPr="00C57D69" w:rsidRDefault="00C57D69" w:rsidP="00D00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1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5F821" w14:textId="11B5FECD" w:rsidR="00C57D69" w:rsidRPr="00C57D69" w:rsidRDefault="00C57D69" w:rsidP="00D00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Доза (разовая)</w:t>
            </w:r>
          </w:p>
        </w:tc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CBC91" w14:textId="77777777" w:rsidR="00C57D69" w:rsidRPr="00C57D69" w:rsidRDefault="00C57D69" w:rsidP="00D00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Кратность приема и длительность курса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AD175" w14:textId="77777777" w:rsidR="00C57D69" w:rsidRPr="00C57D69" w:rsidRDefault="00C57D69" w:rsidP="00D00A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Способ применения</w:t>
            </w:r>
          </w:p>
        </w:tc>
      </w:tr>
      <w:tr w:rsidR="00C57D69" w:rsidRPr="00C57D69" w14:paraId="5D4BC56C" w14:textId="77777777" w:rsidTr="004D2B2F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3247D" w14:textId="77777777" w:rsidR="00C57D69" w:rsidRPr="00D00A28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0A2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Хронический простатит</w:t>
            </w:r>
          </w:p>
        </w:tc>
      </w:tr>
      <w:tr w:rsidR="00C57D69" w:rsidRPr="00C57D69" w14:paraId="7308A150" w14:textId="77777777" w:rsidTr="004D2B2F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19D5F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Взрослые</w:t>
            </w:r>
          </w:p>
        </w:tc>
        <w:tc>
          <w:tcPr>
            <w:tcW w:w="1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F16E2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DBFFC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 раза в день. В течение 3-х месяцев. При воздействии провоцирующих факторов (злоупотребление алкоголем, венерические заболевания, частые запоры, стрессы, иммунодефицит, продолжительное половое воздержание, малоподвижный образ жизни (сидячая работа) 2-х недельные профилактические курсы.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ADEF8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  <w:tr w:rsidR="00C57D69" w:rsidRPr="00C57D69" w14:paraId="77C6DB2C" w14:textId="77777777" w:rsidTr="004D2B2F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1765F" w14:textId="77777777" w:rsidR="00C57D69" w:rsidRPr="00D00A28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0A2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Доброкачественная гиперплазия (аденома) предстательной железы</w:t>
            </w:r>
          </w:p>
        </w:tc>
      </w:tr>
      <w:tr w:rsidR="00C57D69" w:rsidRPr="00C57D69" w14:paraId="4B8B142A" w14:textId="77777777" w:rsidTr="004D2B2F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31DD3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BDE6D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0CCF8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3 раза в день. 3 месяца с переходом на поддерживающую терапию 1-2 раза в сутки в зависимости от выраженности дизурии. </w:t>
            </w:r>
            <w:proofErr w:type="spellStart"/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Длительость</w:t>
            </w:r>
            <w:proofErr w:type="spellEnd"/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поддерживающей терапии определяется врачом.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429F9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  <w:tr w:rsidR="00C57D69" w:rsidRPr="00C57D69" w14:paraId="35E38E71" w14:textId="77777777" w:rsidTr="004D2B2F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17FE0" w14:textId="77777777" w:rsidR="00C57D69" w:rsidRPr="00D00A28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0A2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Цистит</w:t>
            </w:r>
          </w:p>
        </w:tc>
      </w:tr>
      <w:tr w:rsidR="00C57D69" w:rsidRPr="00C57D69" w14:paraId="570BCACA" w14:textId="77777777" w:rsidTr="004D2B2F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C4543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1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A0EBB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3EB47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Острый цистит: 3 раза в день 1-2 недели. Хронический цистит: 3 раза в день 3 месяца. После этого при необходимости можно перейти на поддер</w:t>
            </w:r>
            <w:bookmarkStart w:id="1" w:name="_GoBack"/>
            <w:bookmarkEnd w:id="1"/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живающую терапию 1-2 раза в день.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610B5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  <w:tr w:rsidR="00C57D69" w:rsidRPr="00C57D69" w14:paraId="26B9AB78" w14:textId="77777777" w:rsidTr="004D2B2F">
        <w:tc>
          <w:tcPr>
            <w:tcW w:w="949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F9BD1" w14:textId="77777777" w:rsidR="00C57D69" w:rsidRPr="00D00A28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00A2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Нарушения мочеиспускания (частые позывы к мочеиспусканию, ночные позывы к мочеиспусканию, неполное опорожнение мочевого пузыря)</w:t>
            </w:r>
          </w:p>
        </w:tc>
      </w:tr>
      <w:tr w:rsidR="00C57D69" w:rsidRPr="00C57D69" w14:paraId="7CB94503" w14:textId="77777777" w:rsidTr="004D2B2F"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3EEE3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Взрослые и подростки</w:t>
            </w:r>
          </w:p>
        </w:tc>
        <w:tc>
          <w:tcPr>
            <w:tcW w:w="13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06192" w14:textId="77777777" w:rsidR="00C57D69" w:rsidRPr="00C57D69" w:rsidRDefault="00C57D69" w:rsidP="004D2B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капель</w:t>
            </w:r>
          </w:p>
        </w:tc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BCF1E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Острые нарушения мочеиспускания: 3 раза в день 2 недели. Хронические нарушения: 3 раза в день 3 месяца. После этого при необходимости можно перейти на поддерживающую терапию 1-2 раза в день.</w:t>
            </w:r>
          </w:p>
        </w:tc>
        <w:tc>
          <w:tcPr>
            <w:tcW w:w="3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58AC3" w14:textId="77777777" w:rsidR="00C57D69" w:rsidRPr="00C57D69" w:rsidRDefault="00C57D69" w:rsidP="00C57D6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7D6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Внутрь в чистом виде или развести в 1 столовой ложке воды за 30 минут до или через 1 час после еды, подержав некоторое время во рту перед проглатыванием.</w:t>
            </w:r>
          </w:p>
        </w:tc>
      </w:tr>
    </w:tbl>
    <w:p w14:paraId="56BD45DD" w14:textId="77777777" w:rsidR="00D00A28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color w:val="333333"/>
          <w:lang w:eastAsia="ru-RU"/>
        </w:rPr>
        <w:t xml:space="preserve">В начале заболевания, а также в случаях выраженных </w:t>
      </w:r>
      <w:proofErr w:type="spellStart"/>
      <w:r w:rsidRPr="004D2B2F">
        <w:rPr>
          <w:rFonts w:ascii="Helvetica" w:eastAsia="Times New Roman" w:hAnsi="Helvetica" w:cs="Helvetica"/>
          <w:color w:val="333333"/>
          <w:lang w:eastAsia="ru-RU"/>
        </w:rPr>
        <w:t>дизурических</w:t>
      </w:r>
      <w:proofErr w:type="spellEnd"/>
      <w:r w:rsidRPr="004D2B2F">
        <w:rPr>
          <w:rFonts w:ascii="Helvetica" w:eastAsia="Times New Roman" w:hAnsi="Helvetica" w:cs="Helvetica"/>
          <w:color w:val="333333"/>
          <w:lang w:eastAsia="ru-RU"/>
        </w:rPr>
        <w:t xml:space="preserve"> нарушений, требующих быстрого ослабления симптомов, возможен прием препарата по 8-10 капель каждые полчаса-час до наступления улучшения состояния, но не более 8 раз в день, после чего принимать 3 раза в день.</w:t>
      </w:r>
    </w:p>
    <w:p w14:paraId="6A996CB0" w14:textId="362E22AD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Побочное действие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Редко может возникнуть повышенное слюноотделение. При возникновении других побочных эффектов следует обратиться к врачу.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</w: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Передозировка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Случаи передозировки до настоящего времени не были зарегистрированы.</w:t>
      </w:r>
    </w:p>
    <w:p w14:paraId="1AEB8BA8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Взаимодействие с другими лекарственными препаратами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Применение гомеопатических препаратов не исключает лечение другими лекарственными средствами.</w:t>
      </w:r>
    </w:p>
    <w:p w14:paraId="59597F33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Особые указания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При заболеваниях предстательной и щитовидной желез препарат применяется по назначению врача. При появлении крови в моче или острой задержки мочеиспускания следует немедленно обратиться к врачу. Препарат не следует применять в течение продолжительного периода без консультации врача.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Поскольку препарат содержит растительные природные компоненты, при хранении может наблюдаться незначительное помутнение и ослабление запаха и вкуса, что не приводит к снижению эффективности препарата.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 xml:space="preserve">В состав препарата входит этиловый спирт (этанол) 43% по массе. </w:t>
      </w:r>
      <w:proofErr w:type="spellStart"/>
      <w:r w:rsidRPr="004D2B2F">
        <w:rPr>
          <w:rFonts w:ascii="Helvetica" w:eastAsia="Times New Roman" w:hAnsi="Helvetica" w:cs="Helvetica"/>
          <w:color w:val="333333"/>
          <w:lang w:eastAsia="ru-RU"/>
        </w:rPr>
        <w:t>Гентос</w:t>
      </w:r>
      <w:proofErr w:type="spellEnd"/>
      <w:r w:rsidRPr="004D2B2F">
        <w:rPr>
          <w:rFonts w:ascii="Helvetica" w:eastAsia="Times New Roman" w:hAnsi="Helvetica" w:cs="Helvetica"/>
          <w:color w:val="333333"/>
          <w:lang w:eastAsia="ru-RU"/>
        </w:rPr>
        <w:t>® (</w:t>
      </w:r>
      <w:proofErr w:type="spellStart"/>
      <w:r w:rsidRPr="004D2B2F">
        <w:rPr>
          <w:rFonts w:ascii="Helvetica" w:eastAsia="Times New Roman" w:hAnsi="Helvetica" w:cs="Helvetica"/>
          <w:color w:val="333333"/>
          <w:lang w:eastAsia="ru-RU"/>
        </w:rPr>
        <w:t>Gentos</w:t>
      </w:r>
      <w:proofErr w:type="spellEnd"/>
      <w:r w:rsidRPr="004D2B2F">
        <w:rPr>
          <w:rFonts w:ascii="Helvetica" w:eastAsia="Times New Roman" w:hAnsi="Helvetica" w:cs="Helvetica"/>
          <w:color w:val="333333"/>
          <w:lang w:eastAsia="ru-RU"/>
        </w:rPr>
        <w:t>®) капли содержат в разовой дозе (10 капель) 0,16 г алкоголя. В максимальной суточной дозе (8 раз в день по 10 капель) содержится 1,28 г этилового спирта (этанола).</w:t>
      </w:r>
    </w:p>
    <w:p w14:paraId="5971B931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Влияние на способность управлять механизмами и автомобилем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В период применения препарата следует соблюдать осторожность при выполнении потенциально опасных видов деятельности, требующих повышенного внимания и быстрых психомоторных реакций (управление автомобилем и другими транспортными средствами, работа с движущимися механизмами, работа диспетчера и оператора и т.п.).</w:t>
      </w:r>
    </w:p>
    <w:p w14:paraId="7ADA7BB1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Форма выпуска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Капли гомеопатические.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По 20, 50 или 100 мл во флаконы коричневого стекла (тип III) с навинчивающейся крышкой из пропилена с контролем первого вскрытия; с капельницей из полиэтилена. Каждый флакон вместе с инструкцией по применению помещают в картонную пачку.</w:t>
      </w:r>
    </w:p>
    <w:p w14:paraId="2AC82EE9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хранения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В защищенном от света и сильных электромагнитных полей месте при температуре не выше 25 °С.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</w:r>
      <w:r w:rsidRPr="00D00A28">
        <w:rPr>
          <w:rFonts w:ascii="Helvetica" w:eastAsia="Times New Roman" w:hAnsi="Helvetica" w:cs="Helvetica"/>
          <w:color w:val="333333"/>
          <w:u w:val="single"/>
          <w:lang w:eastAsia="ru-RU"/>
        </w:rPr>
        <w:t>Хранить в недоступном для детей месте.</w:t>
      </w:r>
    </w:p>
    <w:p w14:paraId="5CBC72FD" w14:textId="77777777" w:rsidR="00C57D69" w:rsidRPr="00D00A28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u w:val="single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Срок хранения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5 лет.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</w:r>
      <w:r w:rsidRPr="00D00A28">
        <w:rPr>
          <w:rFonts w:ascii="Helvetica" w:eastAsia="Times New Roman" w:hAnsi="Helvetica" w:cs="Helvetica"/>
          <w:color w:val="333333"/>
          <w:u w:val="single"/>
          <w:lang w:eastAsia="ru-RU"/>
        </w:rPr>
        <w:t>Не применять по истечении срока годности, указанного на упаковке.</w:t>
      </w:r>
    </w:p>
    <w:p w14:paraId="449445A7" w14:textId="77777777" w:rsidR="00C57D69" w:rsidRPr="004D2B2F" w:rsidRDefault="00C57D69" w:rsidP="00C57D69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4D2B2F">
        <w:rPr>
          <w:rFonts w:ascii="Helvetica" w:eastAsia="Times New Roman" w:hAnsi="Helvetica" w:cs="Helvetica"/>
          <w:b/>
          <w:bCs/>
          <w:color w:val="333333"/>
          <w:lang w:eastAsia="ru-RU"/>
        </w:rPr>
        <w:t>Условия отпуска</w:t>
      </w:r>
      <w:r w:rsidRPr="004D2B2F">
        <w:rPr>
          <w:rFonts w:ascii="Helvetica" w:eastAsia="Times New Roman" w:hAnsi="Helvetica" w:cs="Helvetica"/>
          <w:color w:val="333333"/>
          <w:lang w:eastAsia="ru-RU"/>
        </w:rPr>
        <w:br/>
        <w:t>Без рецепта.</w:t>
      </w:r>
    </w:p>
    <w:p w14:paraId="588F9A9C" w14:textId="77777777" w:rsidR="00D00A28" w:rsidRDefault="00D00A28" w:rsidP="00D00A28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lang w:eastAsia="ru-RU"/>
        </w:rPr>
        <w:t>Наименование и адрес юридического лица, на имя которого выдано Регистрационное удостоверение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Альвоген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Оперейшнз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(РОУ) Лтд.,</w:t>
      </w:r>
    </w:p>
    <w:p w14:paraId="182B276B" w14:textId="77777777" w:rsidR="00D00A28" w:rsidRPr="005D1EFE" w:rsidRDefault="00D00A28" w:rsidP="00D00A28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 xml:space="preserve">Мальта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Лайф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Сайенсез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парк, стр. 1, уровень 4,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Индастриал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Истейт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Сэр Теми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Заммит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Билдингс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>, Сан-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Гванн</w:t>
      </w:r>
      <w:proofErr w:type="spellEnd"/>
      <w:r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lang w:val="en-US" w:eastAsia="ru-RU"/>
        </w:rPr>
        <w:t>SGN</w:t>
      </w:r>
      <w:r w:rsidRPr="00700D5D">
        <w:rPr>
          <w:rFonts w:ascii="Helvetica" w:eastAsia="Times New Roman" w:hAnsi="Helvetica" w:cs="Helvetica"/>
          <w:color w:val="333333"/>
          <w:lang w:eastAsia="ru-RU"/>
        </w:rPr>
        <w:t xml:space="preserve"> 3000</w:t>
      </w:r>
      <w:r>
        <w:rPr>
          <w:rFonts w:ascii="Helvetica" w:eastAsia="Times New Roman" w:hAnsi="Helvetica" w:cs="Helvetica"/>
          <w:color w:val="333333"/>
          <w:lang w:eastAsia="ru-RU"/>
        </w:rPr>
        <w:t>, Мальта</w:t>
      </w:r>
    </w:p>
    <w:p w14:paraId="4A93F80E" w14:textId="77777777" w:rsidR="00D00A28" w:rsidRPr="005D1EFE" w:rsidRDefault="00D00A28" w:rsidP="00D00A28">
      <w:pPr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Производитель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Рихард Биттнер АГ</w:t>
      </w:r>
      <w:r>
        <w:rPr>
          <w:rFonts w:ascii="Helvetica" w:eastAsia="Times New Roman" w:hAnsi="Helvetica" w:cs="Helvetica"/>
          <w:color w:val="333333"/>
          <w:lang w:eastAsia="ru-RU"/>
        </w:rPr>
        <w:t>,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Оссиахерштрассе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 7, А-9560 </w:t>
      </w:r>
      <w:proofErr w:type="spellStart"/>
      <w:r w:rsidRPr="005D1EFE">
        <w:rPr>
          <w:rFonts w:ascii="Helvetica" w:eastAsia="Times New Roman" w:hAnsi="Helvetica" w:cs="Helvetica"/>
          <w:color w:val="333333"/>
          <w:lang w:eastAsia="ru-RU"/>
        </w:rPr>
        <w:t>Фельдкирхен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>, Австрия</w:t>
      </w:r>
    </w:p>
    <w:p w14:paraId="29A0162A" w14:textId="77777777" w:rsidR="00D00A28" w:rsidRDefault="00D00A28" w:rsidP="00D00A28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D1EFE">
        <w:rPr>
          <w:rFonts w:ascii="Helvetica" w:eastAsia="Times New Roman" w:hAnsi="Helvetica" w:cs="Helvetica"/>
          <w:b/>
          <w:bCs/>
          <w:color w:val="333333"/>
          <w:lang w:eastAsia="ru-RU"/>
        </w:rPr>
        <w:t>Организация, принимающая претензии потребителей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ООО «</w:t>
      </w:r>
      <w:r>
        <w:rPr>
          <w:rFonts w:ascii="Helvetica" w:eastAsia="Times New Roman" w:hAnsi="Helvetica" w:cs="Helvetica"/>
          <w:color w:val="333333"/>
          <w:lang w:eastAsia="ru-RU"/>
        </w:rPr>
        <w:t>АЛВОГЕН ФАРМА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lang w:eastAsia="ru-RU"/>
        </w:rPr>
        <w:t>, Россия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br/>
        <w:t>12</w:t>
      </w:r>
      <w:r>
        <w:rPr>
          <w:rFonts w:ascii="Helvetica" w:eastAsia="Times New Roman" w:hAnsi="Helvetica" w:cs="Helvetica"/>
          <w:color w:val="333333"/>
          <w:lang w:eastAsia="ru-RU"/>
        </w:rPr>
        <w:t>7055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,</w:t>
      </w:r>
      <w:r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lang w:eastAsia="ru-RU"/>
        </w:rPr>
        <w:t>г.</w:t>
      </w:r>
      <w:r w:rsidRPr="005D1EFE">
        <w:rPr>
          <w:rFonts w:ascii="Helvetica" w:eastAsia="Times New Roman" w:hAnsi="Helvetica" w:cs="Helvetica"/>
          <w:color w:val="333333"/>
          <w:lang w:eastAsia="ru-RU"/>
        </w:rPr>
        <w:t>Москва</w:t>
      </w:r>
      <w:proofErr w:type="spellEnd"/>
      <w:r w:rsidRPr="005D1EFE">
        <w:rPr>
          <w:rFonts w:ascii="Helvetica" w:eastAsia="Times New Roman" w:hAnsi="Helvetica" w:cs="Helvetica"/>
          <w:color w:val="333333"/>
          <w:lang w:eastAsia="ru-RU"/>
        </w:rPr>
        <w:t xml:space="preserve">, ул. </w:t>
      </w:r>
      <w:r>
        <w:rPr>
          <w:rFonts w:ascii="Helvetica" w:eastAsia="Times New Roman" w:hAnsi="Helvetica" w:cs="Helvetica"/>
          <w:color w:val="333333"/>
          <w:lang w:eastAsia="ru-RU"/>
        </w:rPr>
        <w:t>Новослободская, д.31, строение 4</w:t>
      </w:r>
    </w:p>
    <w:p w14:paraId="7D7F245E" w14:textId="77777777" w:rsidR="00D00A28" w:rsidRPr="005D1EFE" w:rsidRDefault="00D00A28" w:rsidP="00D00A28">
      <w:pPr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t>Тел.+7(499)940-01-77, факс +7(499)940-01-55</w:t>
      </w:r>
    </w:p>
    <w:p w14:paraId="11A3258F" w14:textId="77777777" w:rsidR="00D00A28" w:rsidRPr="00BE04FE" w:rsidRDefault="00D00A28" w:rsidP="00D00A28">
      <w:pPr>
        <w:rPr>
          <w:lang w:val="en-US"/>
        </w:rPr>
      </w:pPr>
      <w:r>
        <w:rPr>
          <w:lang w:val="en-US"/>
        </w:rPr>
        <w:t>www.alvogen.ru</w:t>
      </w:r>
    </w:p>
    <w:p w14:paraId="0982977D" w14:textId="77777777" w:rsidR="00726773" w:rsidRPr="004D2B2F" w:rsidRDefault="00726773" w:rsidP="00D00A28">
      <w:pPr>
        <w:spacing w:after="150" w:line="240" w:lineRule="auto"/>
      </w:pPr>
    </w:p>
    <w:sectPr w:rsidR="00726773" w:rsidRPr="004D2B2F" w:rsidSect="00D00A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DC"/>
    <w:rsid w:val="00440A12"/>
    <w:rsid w:val="004D2B2F"/>
    <w:rsid w:val="00726773"/>
    <w:rsid w:val="00B97047"/>
    <w:rsid w:val="00C57D69"/>
    <w:rsid w:val="00D00A28"/>
    <w:rsid w:val="00EB267D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9623"/>
  <w15:chartTrackingRefBased/>
  <w15:docId w15:val="{ABCA693F-2A38-4A20-A996-23C7CD2C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7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C57D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C57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Bakhmatova</dc:creator>
  <cp:keywords/>
  <dc:description/>
  <cp:lastModifiedBy>Laura Bakhmatova</cp:lastModifiedBy>
  <cp:revision>4</cp:revision>
  <dcterms:created xsi:type="dcterms:W3CDTF">2019-12-25T12:28:00Z</dcterms:created>
  <dcterms:modified xsi:type="dcterms:W3CDTF">2019-12-26T10:03:00Z</dcterms:modified>
</cp:coreProperties>
</file>