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266A" w14:textId="77777777" w:rsidR="00027954" w:rsidRDefault="00027954" w:rsidP="0002795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363F71B2" w14:textId="77777777" w:rsidR="00027954" w:rsidRDefault="00027954" w:rsidP="0002795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ИНСТРУКЦИЯ</w:t>
      </w:r>
    </w:p>
    <w:p w14:paraId="3AF9948D" w14:textId="77777777" w:rsidR="00027954" w:rsidRDefault="00027954" w:rsidP="0002795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 применению лекарственного препарата для медицинского применения</w:t>
      </w:r>
    </w:p>
    <w:p w14:paraId="13C4CBBA" w14:textId="77777777" w:rsidR="00027954" w:rsidRPr="005D1EFE" w:rsidRDefault="00027954" w:rsidP="0002795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  <w:u w:val="single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40"/>
          <w:szCs w:val="40"/>
          <w:u w:val="single"/>
          <w:lang w:eastAsia="ru-RU"/>
        </w:rPr>
        <w:t>Ременс</w:t>
      </w:r>
      <w:proofErr w:type="spellEnd"/>
      <w:r w:rsidRPr="005D1EFE">
        <w:rPr>
          <w:rFonts w:ascii="Helvetica" w:eastAsia="Times New Roman" w:hAnsi="Helvetica" w:cs="Helvetica"/>
          <w:color w:val="333333"/>
          <w:sz w:val="40"/>
          <w:szCs w:val="40"/>
          <w:u w:val="single"/>
          <w:lang w:eastAsia="ru-RU"/>
        </w:rPr>
        <w:t>®</w:t>
      </w:r>
    </w:p>
    <w:p w14:paraId="5B097707" w14:textId="3707A7DD" w:rsidR="00027954" w:rsidRPr="00027954" w:rsidRDefault="00027954" w:rsidP="0002795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-US" w:eastAsia="ru-RU"/>
        </w:rPr>
        <w:t>Remens</w:t>
      </w:r>
      <w:proofErr w:type="spellEnd"/>
      <w:r w:rsidRPr="00535A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®</w:t>
      </w:r>
    </w:p>
    <w:p w14:paraId="32842250" w14:textId="77777777" w:rsidR="00027954" w:rsidRDefault="00027954" w:rsidP="005720AB">
      <w:pPr>
        <w:shd w:val="clear" w:color="auto" w:fill="FFFFFF"/>
        <w:spacing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14:paraId="6C7E2F69" w14:textId="76D3B2ED" w:rsidR="00E46000" w:rsidRPr="005720AB" w:rsidRDefault="00E46000" w:rsidP="005720AB">
      <w:pPr>
        <w:shd w:val="clear" w:color="auto" w:fill="FFFFFF"/>
        <w:spacing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t>Регистрационный номер:</w:t>
      </w:r>
      <w:r w:rsidR="005720AB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r w:rsidR="005720AB" w:rsidRPr="005720AB">
        <w:rPr>
          <w:rFonts w:ascii="Helvetica" w:eastAsia="Times New Roman" w:hAnsi="Helvetica" w:cs="Helvetica"/>
          <w:color w:val="333333"/>
          <w:lang w:eastAsia="ru-RU"/>
        </w:rPr>
        <w:t>П Т013117/01</w:t>
      </w:r>
    </w:p>
    <w:p w14:paraId="3FEDD112" w14:textId="77777777" w:rsidR="00E46000" w:rsidRPr="005720AB" w:rsidRDefault="00E46000" w:rsidP="00E46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Торговое название препарата: </w:t>
      </w:r>
      <w:bookmarkStart w:id="0" w:name="_Hlk28185845"/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Ременс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® / 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Remens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>®</w:t>
      </w:r>
      <w:bookmarkEnd w:id="0"/>
    </w:p>
    <w:p w14:paraId="726151FA" w14:textId="22330194" w:rsidR="00E46000" w:rsidRDefault="00E46000" w:rsidP="005720AB">
      <w:pPr>
        <w:shd w:val="clear" w:color="auto" w:fill="FFFFFF"/>
        <w:spacing w:before="150" w:after="75" w:line="240" w:lineRule="auto"/>
        <w:outlineLvl w:val="2"/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t>Лекарственная форма:</w:t>
      </w:r>
      <w:r w:rsidR="005720AB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r w:rsidRPr="005720AB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капли для приема внутрь гомеопатические</w:t>
      </w:r>
    </w:p>
    <w:p w14:paraId="1A92D8C9" w14:textId="7C52D358" w:rsidR="00E46000" w:rsidRPr="005720AB" w:rsidRDefault="00E46000" w:rsidP="00E46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t>Состав</w:t>
      </w:r>
      <w:r w:rsidR="005720AB">
        <w:rPr>
          <w:rFonts w:ascii="Helvetica" w:eastAsia="Times New Roman" w:hAnsi="Helvetica" w:cs="Helvetica"/>
          <w:color w:val="333333"/>
          <w:lang w:eastAsia="ru-RU"/>
        </w:rPr>
        <w:t xml:space="preserve"> (на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 100 мл</w:t>
      </w:r>
      <w:r w:rsidR="005720AB">
        <w:rPr>
          <w:rFonts w:ascii="Helvetica" w:eastAsia="Times New Roman" w:hAnsi="Helvetica" w:cs="Helvetica"/>
          <w:color w:val="333333"/>
          <w:lang w:eastAsia="ru-RU"/>
        </w:rPr>
        <w:t>)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</w:r>
      <w:r w:rsidRPr="005720AB">
        <w:rPr>
          <w:rFonts w:ascii="Helvetica" w:eastAsia="Times New Roman" w:hAnsi="Helvetica" w:cs="Helvetica"/>
          <w:i/>
          <w:iCs/>
          <w:color w:val="333333"/>
          <w:lang w:eastAsia="ru-RU"/>
        </w:rPr>
        <w:t>активные компоненты: 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Cimicifuga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racemosa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Cimicifuga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>) (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цимицифуга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рацемоса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) D1 5 мл, 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Sanguinaria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сanadensis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Sanguinaria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>) (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сангвинария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канаденсис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) D6 10 мл, 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Pilocarpus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Jaborandi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) (пилокарпус) D6 10 мл, 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Sepia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officinalis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Sepia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) (сепия 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оффисиналис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) D12 10 мл, 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Lachesis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mutus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Lachesis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>) (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лачесис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мутус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>) D12 10 мл;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</w:r>
      <w:r w:rsidRPr="005720AB">
        <w:rPr>
          <w:rFonts w:ascii="Helvetica" w:eastAsia="Times New Roman" w:hAnsi="Helvetica" w:cs="Helvetica"/>
          <w:i/>
          <w:iCs/>
          <w:color w:val="333333"/>
          <w:lang w:eastAsia="ru-RU"/>
        </w:rPr>
        <w:t>вспомогательные компоненты: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t> спирт этиловый (этанол) - 43% по массе 55 мл.</w:t>
      </w:r>
    </w:p>
    <w:p w14:paraId="0E935F54" w14:textId="77777777" w:rsidR="00E46000" w:rsidRPr="005720AB" w:rsidRDefault="00E46000" w:rsidP="00E46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t>Описание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  <w:t>Прозрачная от бесцветной со слегка желтоватым оттенком до светло-желтого цвета жидкость со слабым специфическим запахом.</w:t>
      </w:r>
    </w:p>
    <w:p w14:paraId="46BCD7DB" w14:textId="77777777" w:rsidR="00E46000" w:rsidRPr="005720AB" w:rsidRDefault="00E46000" w:rsidP="00027954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t>Фармакотерапевтическая группа:</w:t>
      </w:r>
    </w:p>
    <w:p w14:paraId="55B1CB31" w14:textId="77777777" w:rsidR="00E46000" w:rsidRPr="005720AB" w:rsidRDefault="00E46000" w:rsidP="0002795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720AB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гомеопатическое лекарственное средство.</w:t>
      </w:r>
    </w:p>
    <w:p w14:paraId="20CD0074" w14:textId="77777777" w:rsidR="00E46000" w:rsidRPr="005720AB" w:rsidRDefault="00E46000" w:rsidP="00E46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t>Фармакологическое действие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  <w:t>Гомеопатический препарат, действие которого обусловлено входящими в его состав компонентами.</w:t>
      </w:r>
    </w:p>
    <w:p w14:paraId="739719F6" w14:textId="77777777" w:rsidR="00E46000" w:rsidRPr="005720AB" w:rsidRDefault="00E46000" w:rsidP="00E46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t>Показания к применению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  <w:t>Комплексное лечение нарушений менструального цикла (дисменорея, вторичная аменорея, предменструальный синдром), климактерический синдром, эндометрит, аднексит.</w:t>
      </w:r>
    </w:p>
    <w:p w14:paraId="06CBD893" w14:textId="77777777" w:rsidR="00E46000" w:rsidRPr="005720AB" w:rsidRDefault="00E46000" w:rsidP="00E46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t>Противопоказания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  <w:t xml:space="preserve">Повышенная чувствительность к компонентам препарата, детский возраст до 12 лет (из-за недостаточности клинических данных), беременность, период грудного вскармливания, заболевания печени, одновременное применение других препаратов 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цимицифуги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>.</w:t>
      </w:r>
    </w:p>
    <w:p w14:paraId="55402996" w14:textId="77777777" w:rsidR="00E46000" w:rsidRPr="005720AB" w:rsidRDefault="00E46000" w:rsidP="00E46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t>С осторожностью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  <w:t>При алкоголизме, черепно-мозговой травме, заболеваниях головного мозга.</w:t>
      </w:r>
    </w:p>
    <w:p w14:paraId="19884373" w14:textId="77777777" w:rsidR="00E46000" w:rsidRPr="005720AB" w:rsidRDefault="00E46000" w:rsidP="00E46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t>Способ применения и дозы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  <w:t xml:space="preserve">Для обеспечения наибольшей эффективности 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Ременс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>® следует принимать за 30 минут до или через 1 час после приема пищи.</w:t>
      </w:r>
    </w:p>
    <w:tbl>
      <w:tblPr>
        <w:tblW w:w="981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268"/>
        <w:gridCol w:w="3543"/>
        <w:gridCol w:w="3581"/>
        <w:gridCol w:w="9"/>
      </w:tblGrid>
      <w:tr w:rsidR="00E46000" w:rsidRPr="00E46000" w14:paraId="4546BD11" w14:textId="77777777" w:rsidTr="00027954">
        <w:trPr>
          <w:gridAfter w:val="1"/>
          <w:wAfter w:w="9" w:type="dxa"/>
        </w:trPr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05218" w14:textId="77777777" w:rsidR="00E46000" w:rsidRPr="005720AB" w:rsidRDefault="00E46000" w:rsidP="000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Возраст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AA28DB" w14:textId="77777777" w:rsidR="00E46000" w:rsidRPr="005720AB" w:rsidRDefault="00E46000" w:rsidP="000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Доза (разовая)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EE0DA2" w14:textId="77777777" w:rsidR="00E46000" w:rsidRPr="005720AB" w:rsidRDefault="00E46000" w:rsidP="000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Кратность приема и длительность курса</w:t>
            </w: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DE2E9" w14:textId="77777777" w:rsidR="00E46000" w:rsidRPr="005720AB" w:rsidRDefault="00E46000" w:rsidP="000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 применения</w:t>
            </w:r>
          </w:p>
        </w:tc>
      </w:tr>
      <w:tr w:rsidR="00E46000" w:rsidRPr="00E46000" w14:paraId="58924CFF" w14:textId="77777777" w:rsidTr="00027954">
        <w:tc>
          <w:tcPr>
            <w:tcW w:w="981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00666" w14:textId="77777777" w:rsidR="00E46000" w:rsidRPr="005720AB" w:rsidRDefault="00E46000" w:rsidP="00E4600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Климактерический синдром</w:t>
            </w:r>
          </w:p>
        </w:tc>
      </w:tr>
      <w:tr w:rsidR="00E46000" w:rsidRPr="00E46000" w14:paraId="2A5FD7C4" w14:textId="77777777" w:rsidTr="00027954">
        <w:trPr>
          <w:gridAfter w:val="1"/>
          <w:wAfter w:w="9" w:type="dxa"/>
        </w:trPr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0B996" w14:textId="77777777" w:rsidR="00E46000" w:rsidRPr="005720AB" w:rsidRDefault="00E46000" w:rsidP="000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C9F5C" w14:textId="77777777" w:rsidR="00E46000" w:rsidRPr="005720AB" w:rsidRDefault="00E46000" w:rsidP="000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капель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A6D9B" w14:textId="77777777" w:rsidR="00E46000" w:rsidRPr="005720AB" w:rsidRDefault="00E46000" w:rsidP="000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раза в день. Не менее 6-ти месяцев. При стабилизации </w:t>
            </w:r>
            <w:r w:rsidRPr="0057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состояния переход на 1-2- разовый прием в день.</w:t>
            </w: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B9D56" w14:textId="77777777" w:rsidR="00E46000" w:rsidRPr="005720AB" w:rsidRDefault="00E46000" w:rsidP="000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Внутрь в чистом виде или развести в 1 столовой ложке воды за 30 минут до или через 1 </w:t>
            </w:r>
            <w:r w:rsidRPr="0057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час после еды, подержав во рту перед проглатыванием 20-30 секунд.</w:t>
            </w:r>
          </w:p>
        </w:tc>
      </w:tr>
      <w:tr w:rsidR="00E46000" w:rsidRPr="00E46000" w14:paraId="2BDC126E" w14:textId="77777777" w:rsidTr="00027954">
        <w:tc>
          <w:tcPr>
            <w:tcW w:w="981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546DB" w14:textId="77777777" w:rsidR="00E46000" w:rsidRPr="005720AB" w:rsidRDefault="00E46000" w:rsidP="00E4600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Нарушения менструального цикла (предменструальный синдром, дисменорея, вторичная аменорея)</w:t>
            </w:r>
          </w:p>
        </w:tc>
      </w:tr>
      <w:tr w:rsidR="00E46000" w:rsidRPr="00E46000" w14:paraId="76F41222" w14:textId="77777777" w:rsidTr="00027954">
        <w:trPr>
          <w:gridAfter w:val="1"/>
          <w:wAfter w:w="9" w:type="dxa"/>
        </w:trPr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BBDBC1" w14:textId="77777777" w:rsidR="00E46000" w:rsidRPr="005720AB" w:rsidRDefault="00E46000" w:rsidP="000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 и подростки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EA5421" w14:textId="77777777" w:rsidR="00E46000" w:rsidRPr="005720AB" w:rsidRDefault="00E46000" w:rsidP="000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капель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A47BD" w14:textId="77777777" w:rsidR="00E46000" w:rsidRPr="005720AB" w:rsidRDefault="00E46000" w:rsidP="000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раза в день 3 месяца. При необходимости курс можно повторить через 1 месяц после консультации с врачом.</w:t>
            </w: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ED7A9" w14:textId="77777777" w:rsidR="00E46000" w:rsidRPr="005720AB" w:rsidRDefault="00E46000" w:rsidP="000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Внутрь в чистом виде или развести в 1 столовой ложке воды за 30 минут до или через 1 час после еды, подержав во рту перед проглатыванием 20-30 секунд.</w:t>
            </w:r>
          </w:p>
        </w:tc>
      </w:tr>
      <w:tr w:rsidR="00E46000" w:rsidRPr="00E46000" w14:paraId="2322EAED" w14:textId="77777777" w:rsidTr="00027954">
        <w:tc>
          <w:tcPr>
            <w:tcW w:w="981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894D8" w14:textId="77777777" w:rsidR="00E46000" w:rsidRPr="005720AB" w:rsidRDefault="00E46000" w:rsidP="00E4600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Хронические воспалительные заболевания женской половой сферы</w:t>
            </w:r>
          </w:p>
        </w:tc>
      </w:tr>
      <w:tr w:rsidR="00E46000" w:rsidRPr="00E46000" w14:paraId="060EEBDA" w14:textId="77777777" w:rsidTr="00027954">
        <w:trPr>
          <w:gridAfter w:val="1"/>
          <w:wAfter w:w="9" w:type="dxa"/>
        </w:trPr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B5261" w14:textId="77777777" w:rsidR="00E46000" w:rsidRPr="005720AB" w:rsidRDefault="00E46000" w:rsidP="000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 и подростки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40345" w14:textId="77777777" w:rsidR="00E46000" w:rsidRPr="005720AB" w:rsidRDefault="00E46000" w:rsidP="000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капель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E321B" w14:textId="77777777" w:rsidR="00E46000" w:rsidRPr="005720AB" w:rsidRDefault="00E46000" w:rsidP="000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раза в день 3 месяца. При необходимости курс можно повторить через 1 месяц после консультации с врачом.</w:t>
            </w:r>
          </w:p>
        </w:tc>
        <w:tc>
          <w:tcPr>
            <w:tcW w:w="3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4E695" w14:textId="77777777" w:rsidR="00E46000" w:rsidRPr="005720AB" w:rsidRDefault="00E46000" w:rsidP="0002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20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Внутрь в чистом виде или развести в 1 столовой ложке воды за 30 минут до или через 1 час после еды, подержав во рту перед проглатыванием 20-30 секунд.</w:t>
            </w:r>
          </w:p>
        </w:tc>
      </w:tr>
    </w:tbl>
    <w:p w14:paraId="057AB848" w14:textId="77777777" w:rsidR="00E46000" w:rsidRPr="005720AB" w:rsidRDefault="00E46000" w:rsidP="00E46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color w:val="333333"/>
          <w:lang w:eastAsia="ru-RU"/>
        </w:rPr>
        <w:t>В начале заболевания, а также случаях при острых заболеваниях, требующих быстрого ослабления симптомов, возможен прием препарата по 8-10 капель каждые полчаса – час до наступления улучшения состояния, но не более 8 раз в день, после чего принимать 3 раза в день.</w:t>
      </w:r>
    </w:p>
    <w:p w14:paraId="4FFC4A78" w14:textId="77777777" w:rsidR="00E46000" w:rsidRPr="005720AB" w:rsidRDefault="00E46000" w:rsidP="00E46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t>Побочное действие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  <w:t>Редко может возникнуть повышенное слюноотделение. Нарушение функции печени. При возникновении других побочных эффектов следует обратиться к врачу.</w:t>
      </w:r>
    </w:p>
    <w:p w14:paraId="1CC1ACCC" w14:textId="77777777" w:rsidR="00E46000" w:rsidRPr="005720AB" w:rsidRDefault="00E46000" w:rsidP="00E46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t>Передозировка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  <w:t>Случаи передозировки до настоящего времени не были зарегистрированы.</w:t>
      </w:r>
    </w:p>
    <w:p w14:paraId="4D0EC15C" w14:textId="77777777" w:rsidR="00E46000" w:rsidRPr="005720AB" w:rsidRDefault="00E46000" w:rsidP="00E46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t>Взаимодействие с другими лекарственными препаратами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  <w:t xml:space="preserve">Применение гомеопатических препаратов не исключает лечение другими лекарственными средствами. При одновременном применении с другими препаратами 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цимицифуги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>, возможно усиление токсического действия на печень.</w:t>
      </w:r>
    </w:p>
    <w:p w14:paraId="631932B7" w14:textId="77777777" w:rsidR="00027954" w:rsidRDefault="00E46000" w:rsidP="00460A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t>Особые указания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  <w:t>Поскольку препарат содержит растительные природные компоненты, при хранении может наблюдаться незначительное помутнение и ослабление запаха и вкуса, что не приводит к снижению эффективности препарата. Прием препарата необходимо немедленно прекратить при появлении признаков повреждения печени (желтушность, темная моча, боль в правом подреберье, тошнота, отсутствие аппетита, слабость). В случае отсутствия улучшения состояния в течение 1 месяца на фоне приема препарата, пациенту следует обратиться к врачу.</w:t>
      </w:r>
    </w:p>
    <w:p w14:paraId="4D89D512" w14:textId="77777777" w:rsidR="00460A17" w:rsidRDefault="00027954" w:rsidP="00460A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color w:val="333333"/>
          <w:lang w:eastAsia="ru-RU"/>
        </w:rPr>
        <w:t xml:space="preserve">В состав препарата входит этиловый спирт (этанол) 43% по массе. 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Ременс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>® (</w:t>
      </w:r>
      <w:proofErr w:type="spellStart"/>
      <w:r w:rsidRPr="005720AB">
        <w:rPr>
          <w:rFonts w:ascii="Helvetica" w:eastAsia="Times New Roman" w:hAnsi="Helvetica" w:cs="Helvetica"/>
          <w:color w:val="333333"/>
          <w:lang w:eastAsia="ru-RU"/>
        </w:rPr>
        <w:t>Remens</w:t>
      </w:r>
      <w:proofErr w:type="spellEnd"/>
      <w:r w:rsidRPr="005720AB">
        <w:rPr>
          <w:rFonts w:ascii="Helvetica" w:eastAsia="Times New Roman" w:hAnsi="Helvetica" w:cs="Helvetica"/>
          <w:color w:val="333333"/>
          <w:lang w:eastAsia="ru-RU"/>
        </w:rPr>
        <w:t>®) – капли содержат в разовой дозе (10 капель) 0,17 г алкоголя. В максимальной суточной дозе (8 раз в день по 10 капель) содержится 1,35 г этилового спирта (этанола).</w:t>
      </w:r>
    </w:p>
    <w:p w14:paraId="4A1CC98D" w14:textId="3BBFF6E5" w:rsidR="00E46000" w:rsidRPr="005720AB" w:rsidRDefault="00E46000" w:rsidP="00460A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60A17">
        <w:rPr>
          <w:rFonts w:ascii="Helvetica" w:eastAsia="Times New Roman" w:hAnsi="Helvetica" w:cs="Helvetica"/>
          <w:b/>
          <w:bCs/>
          <w:color w:val="333333"/>
          <w:lang w:eastAsia="ru-RU"/>
        </w:rPr>
        <w:t>Влияние на способность управлять механизмами и автомобилем: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t> в период применения препарата следует соблюдать осторожность при выполнении потенциально опасных видов деятельности, требующих повышенного внимания и быстроты психомоторных реакций.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</w:r>
    </w:p>
    <w:p w14:paraId="4D6D0BFA" w14:textId="77777777" w:rsidR="00E46000" w:rsidRPr="005720AB" w:rsidRDefault="00E46000" w:rsidP="00E46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>Форма выпуска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  <w:t>Капли гомеопатические.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  <w:t>По 20, 50 или 100 мл препарата во флаконы коричневого стекла (тип III) с навинчивающейся крышкой из пропилена c контролем первого вскрытия; с капельницей из полиэтилена. Каждый флакон вместе с инструкцией по применению помещают в картонную пачку.</w:t>
      </w:r>
    </w:p>
    <w:p w14:paraId="6B7142EB" w14:textId="77777777" w:rsidR="00E46000" w:rsidRPr="005720AB" w:rsidRDefault="00E46000" w:rsidP="00E46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t>Условия хранения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  <w:t>В оригинальной упаковке и защищенном от сильных электромагнитных полей месте при температуре не выше 25°С.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</w:r>
      <w:r w:rsidRPr="005720AB">
        <w:rPr>
          <w:rFonts w:ascii="Helvetica" w:eastAsia="Times New Roman" w:hAnsi="Helvetica" w:cs="Helvetica"/>
          <w:color w:val="333333"/>
          <w:u w:val="single"/>
          <w:lang w:eastAsia="ru-RU"/>
        </w:rPr>
        <w:t>Хранить в недоступном для детей месте.</w:t>
      </w:r>
    </w:p>
    <w:p w14:paraId="73212E0D" w14:textId="77777777" w:rsidR="00E46000" w:rsidRPr="005720AB" w:rsidRDefault="00E46000" w:rsidP="00E46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t>Срок хранения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  <w:t>5 лет.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</w:r>
      <w:r w:rsidRPr="005720AB">
        <w:rPr>
          <w:rFonts w:ascii="Helvetica" w:eastAsia="Times New Roman" w:hAnsi="Helvetica" w:cs="Helvetica"/>
          <w:color w:val="333333"/>
          <w:u w:val="single"/>
          <w:lang w:eastAsia="ru-RU"/>
        </w:rPr>
        <w:t>Не применять по истечении срока годности, указанного на упаковке.</w:t>
      </w:r>
    </w:p>
    <w:p w14:paraId="5AF08C27" w14:textId="77777777" w:rsidR="00E46000" w:rsidRPr="005720AB" w:rsidRDefault="00E46000" w:rsidP="00E46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720AB">
        <w:rPr>
          <w:rFonts w:ascii="Helvetica" w:eastAsia="Times New Roman" w:hAnsi="Helvetica" w:cs="Helvetica"/>
          <w:b/>
          <w:bCs/>
          <w:color w:val="333333"/>
          <w:lang w:eastAsia="ru-RU"/>
        </w:rPr>
        <w:t>Условия отпуска из аптек</w:t>
      </w:r>
      <w:r w:rsidRPr="005720AB">
        <w:rPr>
          <w:rFonts w:ascii="Helvetica" w:eastAsia="Times New Roman" w:hAnsi="Helvetica" w:cs="Helvetica"/>
          <w:color w:val="333333"/>
          <w:lang w:eastAsia="ru-RU"/>
        </w:rPr>
        <w:br/>
        <w:t>Без рецепта.</w:t>
      </w:r>
    </w:p>
    <w:p w14:paraId="71365E98" w14:textId="77777777" w:rsidR="00460A17" w:rsidRDefault="00460A17" w:rsidP="00460A17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Наименование и адрес юридического лица, на имя которого выдано Регистрационное удостоверение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Альвоген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Мальта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Оперейшнз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(РОУ) Лтд.,</w:t>
      </w:r>
    </w:p>
    <w:p w14:paraId="4DD7E6C0" w14:textId="77777777" w:rsidR="00460A17" w:rsidRPr="005D1EFE" w:rsidRDefault="00460A17" w:rsidP="00460A17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Мальта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Лайф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Сайенсез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парк, стр. 1, уровень 4, Сан-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Гванн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Индастриал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Истейт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, Сэр Теми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Заммит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Билдингс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>, Сан-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Гванн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>
        <w:rPr>
          <w:rFonts w:ascii="Helvetica" w:eastAsia="Times New Roman" w:hAnsi="Helvetica" w:cs="Helvetica"/>
          <w:color w:val="333333"/>
          <w:lang w:val="en-US" w:eastAsia="ru-RU"/>
        </w:rPr>
        <w:t>SGN</w:t>
      </w:r>
      <w:r w:rsidRPr="00700D5D">
        <w:rPr>
          <w:rFonts w:ascii="Helvetica" w:eastAsia="Times New Roman" w:hAnsi="Helvetica" w:cs="Helvetica"/>
          <w:color w:val="333333"/>
          <w:lang w:eastAsia="ru-RU"/>
        </w:rPr>
        <w:t xml:space="preserve"> 3000</w:t>
      </w:r>
      <w:r>
        <w:rPr>
          <w:rFonts w:ascii="Helvetica" w:eastAsia="Times New Roman" w:hAnsi="Helvetica" w:cs="Helvetica"/>
          <w:color w:val="333333"/>
          <w:lang w:eastAsia="ru-RU"/>
        </w:rPr>
        <w:t>, Мальта</w:t>
      </w:r>
    </w:p>
    <w:p w14:paraId="6EBC4590" w14:textId="77777777" w:rsidR="00460A17" w:rsidRPr="005D1EFE" w:rsidRDefault="00460A17" w:rsidP="00460A17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Производитель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Рихард Биттнер АГ</w:t>
      </w:r>
      <w:r>
        <w:rPr>
          <w:rFonts w:ascii="Helvetica" w:eastAsia="Times New Roman" w:hAnsi="Helvetica" w:cs="Helvetica"/>
          <w:color w:val="333333"/>
          <w:lang w:eastAsia="ru-RU"/>
        </w:rPr>
        <w:t>,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</w:r>
      <w:proofErr w:type="spellStart"/>
      <w:r w:rsidRPr="005D1EFE">
        <w:rPr>
          <w:rFonts w:ascii="Helvetica" w:eastAsia="Times New Roman" w:hAnsi="Helvetica" w:cs="Helvetica"/>
          <w:color w:val="333333"/>
          <w:lang w:eastAsia="ru-RU"/>
        </w:rPr>
        <w:t>Оссиахерштрассе</w:t>
      </w:r>
      <w:proofErr w:type="spellEnd"/>
      <w:r w:rsidRPr="005D1EFE">
        <w:rPr>
          <w:rFonts w:ascii="Helvetica" w:eastAsia="Times New Roman" w:hAnsi="Helvetica" w:cs="Helvetica"/>
          <w:color w:val="333333"/>
          <w:lang w:eastAsia="ru-RU"/>
        </w:rPr>
        <w:t xml:space="preserve"> 7, А-9560 </w:t>
      </w:r>
      <w:proofErr w:type="spellStart"/>
      <w:r w:rsidRPr="005D1EFE">
        <w:rPr>
          <w:rFonts w:ascii="Helvetica" w:eastAsia="Times New Roman" w:hAnsi="Helvetica" w:cs="Helvetica"/>
          <w:color w:val="333333"/>
          <w:lang w:eastAsia="ru-RU"/>
        </w:rPr>
        <w:t>Фельдкирхен</w:t>
      </w:r>
      <w:proofErr w:type="spellEnd"/>
      <w:r w:rsidRPr="005D1EFE">
        <w:rPr>
          <w:rFonts w:ascii="Helvetica" w:eastAsia="Times New Roman" w:hAnsi="Helvetica" w:cs="Helvetica"/>
          <w:color w:val="333333"/>
          <w:lang w:eastAsia="ru-RU"/>
        </w:rPr>
        <w:t>, Австрия</w:t>
      </w:r>
    </w:p>
    <w:p w14:paraId="47C5A225" w14:textId="77777777" w:rsidR="00460A17" w:rsidRDefault="00460A17" w:rsidP="00460A17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Организация, принимающая претензии потребителей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ООО «</w:t>
      </w:r>
      <w:r>
        <w:rPr>
          <w:rFonts w:ascii="Helvetica" w:eastAsia="Times New Roman" w:hAnsi="Helvetica" w:cs="Helvetica"/>
          <w:color w:val="333333"/>
          <w:lang w:eastAsia="ru-RU"/>
        </w:rPr>
        <w:t>АЛВОГЕН ФАРМА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>»</w:t>
      </w:r>
      <w:r>
        <w:rPr>
          <w:rFonts w:ascii="Helvetica" w:eastAsia="Times New Roman" w:hAnsi="Helvetica" w:cs="Helvetica"/>
          <w:color w:val="333333"/>
          <w:lang w:eastAsia="ru-RU"/>
        </w:rPr>
        <w:t>, Россия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12</w:t>
      </w:r>
      <w:r>
        <w:rPr>
          <w:rFonts w:ascii="Helvetica" w:eastAsia="Times New Roman" w:hAnsi="Helvetica" w:cs="Helvetica"/>
          <w:color w:val="333333"/>
          <w:lang w:eastAsia="ru-RU"/>
        </w:rPr>
        <w:t>7055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>,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г.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>Москва</w:t>
      </w:r>
      <w:proofErr w:type="spellEnd"/>
      <w:r w:rsidRPr="005D1EFE">
        <w:rPr>
          <w:rFonts w:ascii="Helvetica" w:eastAsia="Times New Roman" w:hAnsi="Helvetica" w:cs="Helvetica"/>
          <w:color w:val="333333"/>
          <w:lang w:eastAsia="ru-RU"/>
        </w:rPr>
        <w:t xml:space="preserve">, ул. </w:t>
      </w:r>
      <w:r>
        <w:rPr>
          <w:rFonts w:ascii="Helvetica" w:eastAsia="Times New Roman" w:hAnsi="Helvetica" w:cs="Helvetica"/>
          <w:color w:val="333333"/>
          <w:lang w:eastAsia="ru-RU"/>
        </w:rPr>
        <w:t>Новослободская, д.31, строение 4</w:t>
      </w:r>
    </w:p>
    <w:p w14:paraId="03EA3099" w14:textId="77777777" w:rsidR="00460A17" w:rsidRPr="005D1EFE" w:rsidRDefault="00460A17" w:rsidP="00460A17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Тел.+7(499)940-01-77, факс +7(499)940-01-55</w:t>
      </w:r>
    </w:p>
    <w:p w14:paraId="4A57182D" w14:textId="77777777" w:rsidR="00460A17" w:rsidRPr="00BE04FE" w:rsidRDefault="00460A17" w:rsidP="00460A17">
      <w:pPr>
        <w:rPr>
          <w:lang w:val="en-US"/>
        </w:rPr>
      </w:pPr>
      <w:r>
        <w:rPr>
          <w:lang w:val="en-US"/>
        </w:rPr>
        <w:t>www.alvogen.ru</w:t>
      </w:r>
    </w:p>
    <w:p w14:paraId="585B1C6E" w14:textId="77777777" w:rsidR="00726773" w:rsidRDefault="00726773" w:rsidP="00460A17">
      <w:pPr>
        <w:shd w:val="clear" w:color="auto" w:fill="FFFFFF"/>
        <w:spacing w:after="150" w:line="240" w:lineRule="auto"/>
      </w:pPr>
      <w:bookmarkStart w:id="1" w:name="_GoBack"/>
      <w:bookmarkEnd w:id="1"/>
    </w:p>
    <w:sectPr w:rsidR="00726773" w:rsidSect="000279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5D"/>
    <w:rsid w:val="00027954"/>
    <w:rsid w:val="00460A17"/>
    <w:rsid w:val="005720AB"/>
    <w:rsid w:val="005E585D"/>
    <w:rsid w:val="00726773"/>
    <w:rsid w:val="00E4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5BD0"/>
  <w15:chartTrackingRefBased/>
  <w15:docId w15:val="{0C371001-01D2-47AD-A6EC-FBA44A60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6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6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E460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E460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Bakhmatova</dc:creator>
  <cp:keywords/>
  <dc:description/>
  <cp:lastModifiedBy>Laura Bakhmatova</cp:lastModifiedBy>
  <cp:revision>3</cp:revision>
  <dcterms:created xsi:type="dcterms:W3CDTF">2019-12-25T12:29:00Z</dcterms:created>
  <dcterms:modified xsi:type="dcterms:W3CDTF">2019-12-25T14:16:00Z</dcterms:modified>
</cp:coreProperties>
</file>